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EA26" w14:textId="77777777" w:rsidR="00CB2508" w:rsidRPr="002F4596" w:rsidRDefault="00A12CE4" w:rsidP="007B7CCA">
      <w:pPr>
        <w:pStyle w:val="Balk1"/>
        <w:spacing w:before="60" w:line="240" w:lineRule="auto"/>
        <w:ind w:left="3860"/>
        <w:jc w:val="both"/>
      </w:pPr>
      <w:r w:rsidRPr="002F4596">
        <w:t>KISA ÜRÜN BİLGİSİ</w:t>
      </w:r>
    </w:p>
    <w:p w14:paraId="70589562" w14:textId="77777777" w:rsidR="009D4A1E" w:rsidRPr="002F4596" w:rsidRDefault="009D4A1E" w:rsidP="007B7CCA">
      <w:pPr>
        <w:pStyle w:val="GvdeMetni"/>
        <w:ind w:left="0"/>
        <w:jc w:val="both"/>
        <w:rPr>
          <w:b/>
        </w:rPr>
      </w:pPr>
    </w:p>
    <w:p w14:paraId="580FE08C" w14:textId="77777777" w:rsidR="00CB2508" w:rsidRPr="002F4596" w:rsidRDefault="00CB2508" w:rsidP="007B7CCA">
      <w:pPr>
        <w:pStyle w:val="GvdeMetni"/>
        <w:spacing w:before="3"/>
        <w:ind w:left="0"/>
        <w:jc w:val="both"/>
        <w:rPr>
          <w:b/>
        </w:rPr>
      </w:pPr>
    </w:p>
    <w:p w14:paraId="74263C0A" w14:textId="77777777" w:rsidR="00CB2508" w:rsidRPr="002F4596" w:rsidRDefault="00A12CE4" w:rsidP="007B7CCA">
      <w:pPr>
        <w:pStyle w:val="ListeParagraf"/>
        <w:numPr>
          <w:ilvl w:val="0"/>
          <w:numId w:val="2"/>
        </w:numPr>
        <w:tabs>
          <w:tab w:val="left" w:pos="481"/>
        </w:tabs>
        <w:spacing w:before="90"/>
        <w:jc w:val="both"/>
        <w:rPr>
          <w:b/>
          <w:sz w:val="24"/>
          <w:szCs w:val="24"/>
        </w:rPr>
      </w:pPr>
      <w:r w:rsidRPr="002F4596">
        <w:rPr>
          <w:b/>
          <w:sz w:val="24"/>
          <w:szCs w:val="24"/>
        </w:rPr>
        <w:t>BEŞERİ TIBBİ ÜRÜNÜN</w:t>
      </w:r>
      <w:r w:rsidRPr="002F4596">
        <w:rPr>
          <w:b/>
          <w:spacing w:val="-2"/>
          <w:sz w:val="24"/>
          <w:szCs w:val="24"/>
        </w:rPr>
        <w:t xml:space="preserve"> </w:t>
      </w:r>
      <w:r w:rsidRPr="002F4596">
        <w:rPr>
          <w:b/>
          <w:sz w:val="24"/>
          <w:szCs w:val="24"/>
        </w:rPr>
        <w:t>ADI</w:t>
      </w:r>
    </w:p>
    <w:p w14:paraId="79DA3C06" w14:textId="77777777" w:rsidR="00CB2508" w:rsidRPr="002F4596" w:rsidRDefault="00CB2508" w:rsidP="007B7CCA">
      <w:pPr>
        <w:pStyle w:val="GvdeMetni"/>
        <w:spacing w:before="2"/>
        <w:ind w:left="0"/>
        <w:jc w:val="both"/>
        <w:rPr>
          <w:b/>
        </w:rPr>
      </w:pPr>
    </w:p>
    <w:p w14:paraId="443D9DB4" w14:textId="77777777" w:rsidR="00CB2508" w:rsidRPr="002F4596" w:rsidRDefault="00A12CE4" w:rsidP="007B7CCA">
      <w:pPr>
        <w:pStyle w:val="GvdeMetni"/>
        <w:jc w:val="both"/>
      </w:pPr>
      <w:r w:rsidRPr="002F4596">
        <w:t>MONDES</w:t>
      </w:r>
      <w:r w:rsidRPr="002F4596">
        <w:rPr>
          <w:position w:val="9"/>
        </w:rPr>
        <w:t xml:space="preserve"> </w:t>
      </w:r>
      <w:r w:rsidRPr="002F4596">
        <w:t>5/10 mg film kaplı tablet</w:t>
      </w:r>
    </w:p>
    <w:p w14:paraId="0AD7CF0C" w14:textId="77777777" w:rsidR="00CB2508" w:rsidRPr="002F4596" w:rsidRDefault="00CB2508" w:rsidP="007B7CCA">
      <w:pPr>
        <w:pStyle w:val="GvdeMetni"/>
        <w:spacing w:before="5"/>
        <w:ind w:left="0"/>
        <w:jc w:val="both"/>
      </w:pPr>
    </w:p>
    <w:p w14:paraId="142EABDF" w14:textId="77777777" w:rsidR="00CB2508" w:rsidRPr="002F4596" w:rsidRDefault="00A12CE4" w:rsidP="007B7CCA">
      <w:pPr>
        <w:pStyle w:val="Balk1"/>
        <w:numPr>
          <w:ilvl w:val="0"/>
          <w:numId w:val="2"/>
        </w:numPr>
        <w:tabs>
          <w:tab w:val="left" w:pos="481"/>
        </w:tabs>
        <w:spacing w:line="240" w:lineRule="auto"/>
        <w:jc w:val="both"/>
      </w:pPr>
      <w:r w:rsidRPr="002F4596">
        <w:t>KALİTATİF VE KANTİTATİF</w:t>
      </w:r>
      <w:r w:rsidRPr="002F4596">
        <w:rPr>
          <w:spacing w:val="-4"/>
        </w:rPr>
        <w:t xml:space="preserve"> </w:t>
      </w:r>
      <w:r w:rsidRPr="002F4596">
        <w:t>BİLEŞİMİ</w:t>
      </w:r>
    </w:p>
    <w:p w14:paraId="5D843971" w14:textId="77777777" w:rsidR="00CB2508" w:rsidRPr="002F4596" w:rsidRDefault="00CB2508" w:rsidP="007B7CCA">
      <w:pPr>
        <w:pStyle w:val="GvdeMetni"/>
        <w:ind w:left="0"/>
        <w:jc w:val="both"/>
        <w:rPr>
          <w:b/>
        </w:rPr>
      </w:pPr>
    </w:p>
    <w:p w14:paraId="349C7D11" w14:textId="77777777" w:rsidR="00CB2508" w:rsidRPr="002F4596" w:rsidRDefault="00A12CE4" w:rsidP="007B7CCA">
      <w:pPr>
        <w:ind w:left="250"/>
        <w:jc w:val="both"/>
        <w:rPr>
          <w:b/>
          <w:sz w:val="24"/>
          <w:szCs w:val="24"/>
        </w:rPr>
      </w:pPr>
      <w:r w:rsidRPr="002F4596">
        <w:rPr>
          <w:b/>
          <w:sz w:val="24"/>
          <w:szCs w:val="24"/>
        </w:rPr>
        <w:t>Etkin maddeler:</w:t>
      </w:r>
    </w:p>
    <w:p w14:paraId="7276C6EB" w14:textId="77777777" w:rsidR="00CB2508" w:rsidRPr="002F4596" w:rsidRDefault="00CB2508" w:rsidP="007B7CCA">
      <w:pPr>
        <w:pStyle w:val="GvdeMetni"/>
        <w:spacing w:before="7"/>
        <w:ind w:left="0"/>
        <w:jc w:val="both"/>
        <w:rPr>
          <w:b/>
        </w:rPr>
      </w:pPr>
    </w:p>
    <w:p w14:paraId="51BA2C17" w14:textId="77777777" w:rsidR="00CB2508" w:rsidRPr="002F4596" w:rsidRDefault="00A12CE4" w:rsidP="007B7CCA">
      <w:pPr>
        <w:pStyle w:val="GvdeMetni"/>
        <w:jc w:val="both"/>
      </w:pPr>
      <w:proofErr w:type="spellStart"/>
      <w:r w:rsidRPr="002F4596">
        <w:t>Desloratadin</w:t>
      </w:r>
      <w:proofErr w:type="spellEnd"/>
      <w:r w:rsidRPr="002F4596">
        <w:t xml:space="preserve"> 5 mg</w:t>
      </w:r>
    </w:p>
    <w:p w14:paraId="6E3A5ED2" w14:textId="77777777" w:rsidR="00CB2508" w:rsidRPr="002F4596" w:rsidRDefault="00A12CE4" w:rsidP="007B7CCA">
      <w:pPr>
        <w:pStyle w:val="GvdeMetni"/>
        <w:jc w:val="both"/>
      </w:pPr>
      <w:proofErr w:type="spellStart"/>
      <w:r w:rsidRPr="002F4596">
        <w:t>Montelukast</w:t>
      </w:r>
      <w:proofErr w:type="spellEnd"/>
      <w:r w:rsidRPr="002F4596">
        <w:t xml:space="preserve"> 10 mg (10,40 mg </w:t>
      </w:r>
      <w:proofErr w:type="spellStart"/>
      <w:r w:rsidRPr="002F4596">
        <w:t>Montelukast</w:t>
      </w:r>
      <w:proofErr w:type="spellEnd"/>
      <w:r w:rsidRPr="002F4596">
        <w:t xml:space="preserve"> sodyuma eşdeğer)</w:t>
      </w:r>
    </w:p>
    <w:p w14:paraId="505490C7" w14:textId="77777777" w:rsidR="00CB2508" w:rsidRPr="002F4596" w:rsidRDefault="00CB2508" w:rsidP="007B7CCA">
      <w:pPr>
        <w:pStyle w:val="GvdeMetni"/>
        <w:spacing w:before="5"/>
        <w:ind w:left="0"/>
        <w:jc w:val="both"/>
      </w:pPr>
    </w:p>
    <w:p w14:paraId="5743111C" w14:textId="77777777" w:rsidR="00CB2508" w:rsidRPr="002F4596" w:rsidRDefault="00A12CE4" w:rsidP="007B7CCA">
      <w:pPr>
        <w:pStyle w:val="Balk1"/>
        <w:spacing w:line="240" w:lineRule="auto"/>
        <w:jc w:val="both"/>
      </w:pPr>
      <w:r w:rsidRPr="002F4596">
        <w:t>Yardımcı maddeler:</w:t>
      </w:r>
    </w:p>
    <w:p w14:paraId="42F451D0" w14:textId="77777777" w:rsidR="00CB2508" w:rsidRPr="002F4596" w:rsidRDefault="00CB2508" w:rsidP="007B7CCA">
      <w:pPr>
        <w:pStyle w:val="GvdeMetni"/>
        <w:spacing w:before="6"/>
        <w:ind w:left="0"/>
        <w:jc w:val="both"/>
        <w:rPr>
          <w:b/>
        </w:rPr>
      </w:pPr>
    </w:p>
    <w:p w14:paraId="31F36EF5" w14:textId="77777777" w:rsidR="00CB2508" w:rsidRPr="002F4596" w:rsidRDefault="00A12CE4" w:rsidP="007B7CCA">
      <w:pPr>
        <w:pStyle w:val="GvdeMetni"/>
        <w:spacing w:before="1"/>
        <w:ind w:left="252"/>
        <w:jc w:val="both"/>
      </w:pPr>
      <w:r w:rsidRPr="002F4596">
        <w:t>Laktoz monohidrat (87,40 mg) (inek sütü kaynaklıdır.)</w:t>
      </w:r>
    </w:p>
    <w:p w14:paraId="62F47109" w14:textId="77777777" w:rsidR="00CB2508" w:rsidRPr="002F4596" w:rsidRDefault="00A12CE4" w:rsidP="007B7CCA">
      <w:pPr>
        <w:pStyle w:val="GvdeMetni"/>
        <w:jc w:val="both"/>
      </w:pPr>
      <w:proofErr w:type="spellStart"/>
      <w:r w:rsidRPr="002F4596">
        <w:t>Kroskarmelloz</w:t>
      </w:r>
      <w:proofErr w:type="spellEnd"/>
      <w:r w:rsidRPr="002F4596">
        <w:t xml:space="preserve"> sodyum (6,20 mg)</w:t>
      </w:r>
    </w:p>
    <w:p w14:paraId="56A163C6" w14:textId="77777777" w:rsidR="00CB2508" w:rsidRPr="002F4596" w:rsidRDefault="00A12CE4" w:rsidP="007B7CCA">
      <w:pPr>
        <w:pStyle w:val="GvdeMetni"/>
        <w:jc w:val="both"/>
      </w:pPr>
      <w:r w:rsidRPr="002F4596">
        <w:t xml:space="preserve">FD&amp;C </w:t>
      </w:r>
      <w:proofErr w:type="spellStart"/>
      <w:r w:rsidRPr="002F4596">
        <w:t>yellow</w:t>
      </w:r>
      <w:proofErr w:type="spellEnd"/>
      <w:r w:rsidRPr="002F4596">
        <w:t xml:space="preserve"> #6/ </w:t>
      </w:r>
      <w:proofErr w:type="spellStart"/>
      <w:r w:rsidRPr="002F4596">
        <w:t>sunset</w:t>
      </w:r>
      <w:proofErr w:type="spellEnd"/>
      <w:r w:rsidRPr="002F4596">
        <w:t xml:space="preserve"> </w:t>
      </w:r>
      <w:proofErr w:type="spellStart"/>
      <w:r w:rsidRPr="002F4596">
        <w:t>yellow</w:t>
      </w:r>
      <w:proofErr w:type="spellEnd"/>
      <w:r w:rsidRPr="002F4596">
        <w:t xml:space="preserve"> FCF </w:t>
      </w:r>
      <w:proofErr w:type="spellStart"/>
      <w:r w:rsidRPr="002F4596">
        <w:t>aluminum</w:t>
      </w:r>
      <w:proofErr w:type="spellEnd"/>
      <w:r w:rsidRPr="002F4596">
        <w:t xml:space="preserve"> L (0,07 mg)</w:t>
      </w:r>
    </w:p>
    <w:p w14:paraId="087D864A" w14:textId="77777777" w:rsidR="00CB2508" w:rsidRPr="002F4596" w:rsidRDefault="00CB2508" w:rsidP="007B7CCA">
      <w:pPr>
        <w:pStyle w:val="GvdeMetni"/>
        <w:ind w:left="0"/>
        <w:jc w:val="both"/>
      </w:pPr>
    </w:p>
    <w:p w14:paraId="529572D0" w14:textId="77777777" w:rsidR="00CB2508" w:rsidRPr="002F4596" w:rsidRDefault="00A12CE4" w:rsidP="007B7CCA">
      <w:pPr>
        <w:pStyle w:val="GvdeMetni"/>
        <w:jc w:val="both"/>
      </w:pPr>
      <w:r w:rsidRPr="002F4596">
        <w:t>Yardımcı maddeler için bölüm 6.1 'e bakınız.</w:t>
      </w:r>
    </w:p>
    <w:p w14:paraId="4A627CAA" w14:textId="77777777" w:rsidR="00CB2508" w:rsidRPr="002F4596" w:rsidRDefault="00CB2508" w:rsidP="007B7CCA">
      <w:pPr>
        <w:pStyle w:val="GvdeMetni"/>
        <w:spacing w:before="4"/>
        <w:ind w:left="0"/>
        <w:jc w:val="both"/>
      </w:pPr>
    </w:p>
    <w:p w14:paraId="3F555D33" w14:textId="77777777" w:rsidR="00CB2508" w:rsidRPr="002F4596" w:rsidRDefault="00A12CE4" w:rsidP="007B7CCA">
      <w:pPr>
        <w:pStyle w:val="Balk1"/>
        <w:numPr>
          <w:ilvl w:val="0"/>
          <w:numId w:val="2"/>
        </w:numPr>
        <w:tabs>
          <w:tab w:val="left" w:pos="481"/>
        </w:tabs>
        <w:spacing w:before="1"/>
        <w:jc w:val="both"/>
      </w:pPr>
      <w:r w:rsidRPr="002F4596">
        <w:t>FARMASÖTİK</w:t>
      </w:r>
      <w:r w:rsidRPr="002F4596">
        <w:rPr>
          <w:spacing w:val="-1"/>
        </w:rPr>
        <w:t xml:space="preserve"> </w:t>
      </w:r>
      <w:r w:rsidRPr="002F4596">
        <w:t>FORMU</w:t>
      </w:r>
    </w:p>
    <w:p w14:paraId="48E54664" w14:textId="77777777" w:rsidR="00CB2508" w:rsidRPr="002F4596" w:rsidRDefault="00A12CE4" w:rsidP="007B7CCA">
      <w:pPr>
        <w:pStyle w:val="GvdeMetni"/>
        <w:spacing w:line="274" w:lineRule="exact"/>
        <w:jc w:val="both"/>
      </w:pPr>
      <w:r w:rsidRPr="002F4596">
        <w:t>Film kaplı tablet.</w:t>
      </w:r>
    </w:p>
    <w:p w14:paraId="1ECA5481" w14:textId="77777777" w:rsidR="00CB2508" w:rsidRPr="002F4596" w:rsidRDefault="00A12CE4" w:rsidP="007B7CCA">
      <w:pPr>
        <w:pStyle w:val="GvdeMetni"/>
        <w:jc w:val="both"/>
      </w:pPr>
      <w:r w:rsidRPr="002F4596">
        <w:t xml:space="preserve">Pembe renkli, </w:t>
      </w:r>
      <w:proofErr w:type="spellStart"/>
      <w:r w:rsidRPr="002F4596">
        <w:t>oblong</w:t>
      </w:r>
      <w:proofErr w:type="spellEnd"/>
      <w:r w:rsidRPr="002F4596">
        <w:t xml:space="preserve">, </w:t>
      </w:r>
      <w:proofErr w:type="spellStart"/>
      <w:r w:rsidRPr="002F4596">
        <w:t>bikonveks</w:t>
      </w:r>
      <w:proofErr w:type="spellEnd"/>
      <w:r w:rsidRPr="002F4596">
        <w:t>, çentiksiz baskısız film kaplı tablettir.</w:t>
      </w:r>
    </w:p>
    <w:p w14:paraId="53189B19" w14:textId="77777777" w:rsidR="00CB2508" w:rsidRPr="002F4596" w:rsidRDefault="00CB2508" w:rsidP="007B7CCA">
      <w:pPr>
        <w:pStyle w:val="GvdeMetni"/>
        <w:spacing w:before="4"/>
        <w:ind w:left="0"/>
        <w:jc w:val="both"/>
      </w:pPr>
    </w:p>
    <w:p w14:paraId="7202FDCC" w14:textId="77777777" w:rsidR="00CB2508" w:rsidRPr="002F4596" w:rsidRDefault="00A12CE4" w:rsidP="007B7CCA">
      <w:pPr>
        <w:pStyle w:val="Balk1"/>
        <w:numPr>
          <w:ilvl w:val="0"/>
          <w:numId w:val="2"/>
        </w:numPr>
        <w:tabs>
          <w:tab w:val="left" w:pos="481"/>
        </w:tabs>
        <w:spacing w:line="240" w:lineRule="auto"/>
        <w:jc w:val="both"/>
      </w:pPr>
      <w:r w:rsidRPr="002F4596">
        <w:t>KLİNİK</w:t>
      </w:r>
      <w:r w:rsidRPr="002F4596">
        <w:rPr>
          <w:spacing w:val="-3"/>
        </w:rPr>
        <w:t xml:space="preserve"> </w:t>
      </w:r>
      <w:r w:rsidRPr="002F4596">
        <w:t>ÖZELLİKLER</w:t>
      </w:r>
    </w:p>
    <w:p w14:paraId="77CF74A4" w14:textId="77777777" w:rsidR="00CB2508" w:rsidRPr="002F4596" w:rsidRDefault="00CB2508" w:rsidP="007B7CCA">
      <w:pPr>
        <w:pStyle w:val="GvdeMetni"/>
        <w:ind w:left="0"/>
        <w:jc w:val="both"/>
        <w:rPr>
          <w:b/>
        </w:rPr>
      </w:pPr>
    </w:p>
    <w:p w14:paraId="6CBAA93E" w14:textId="77777777" w:rsidR="00CB2508" w:rsidRPr="002F4596" w:rsidRDefault="00A12CE4" w:rsidP="007B7CCA">
      <w:pPr>
        <w:pStyle w:val="ListeParagraf"/>
        <w:numPr>
          <w:ilvl w:val="1"/>
          <w:numId w:val="2"/>
        </w:numPr>
        <w:tabs>
          <w:tab w:val="left" w:pos="664"/>
        </w:tabs>
        <w:spacing w:before="1"/>
        <w:ind w:hanging="414"/>
        <w:jc w:val="both"/>
        <w:rPr>
          <w:b/>
          <w:sz w:val="24"/>
          <w:szCs w:val="24"/>
        </w:rPr>
      </w:pPr>
      <w:r w:rsidRPr="002F4596">
        <w:rPr>
          <w:b/>
          <w:sz w:val="24"/>
          <w:szCs w:val="24"/>
        </w:rPr>
        <w:t>Terapötik</w:t>
      </w:r>
      <w:r w:rsidRPr="002F4596">
        <w:rPr>
          <w:b/>
          <w:spacing w:val="-1"/>
          <w:sz w:val="24"/>
          <w:szCs w:val="24"/>
        </w:rPr>
        <w:t xml:space="preserve"> </w:t>
      </w:r>
      <w:r w:rsidRPr="002F4596">
        <w:rPr>
          <w:b/>
          <w:sz w:val="24"/>
          <w:szCs w:val="24"/>
        </w:rPr>
        <w:t>endikasyonlar</w:t>
      </w:r>
    </w:p>
    <w:p w14:paraId="4FFB9E7E" w14:textId="77777777" w:rsidR="00CB2508" w:rsidRPr="002F4596" w:rsidRDefault="00CB2508" w:rsidP="007B7CCA">
      <w:pPr>
        <w:pStyle w:val="GvdeMetni"/>
        <w:spacing w:before="6"/>
        <w:ind w:left="0"/>
        <w:jc w:val="both"/>
        <w:rPr>
          <w:b/>
        </w:rPr>
      </w:pPr>
    </w:p>
    <w:p w14:paraId="70B35AEA" w14:textId="768B32D1" w:rsidR="003249A2" w:rsidRPr="002F4596" w:rsidRDefault="003249A2" w:rsidP="007B7CCA">
      <w:pPr>
        <w:pStyle w:val="GvdeMetni"/>
        <w:jc w:val="both"/>
      </w:pPr>
      <w:r w:rsidRPr="002F4596">
        <w:t xml:space="preserve">Alerjik </w:t>
      </w:r>
      <w:proofErr w:type="spellStart"/>
      <w:r w:rsidRPr="002F4596">
        <w:t>rinit</w:t>
      </w:r>
      <w:proofErr w:type="spellEnd"/>
      <w:r w:rsidRPr="002F4596">
        <w:t xml:space="preserve"> ve alerjik </w:t>
      </w:r>
      <w:proofErr w:type="spellStart"/>
      <w:r w:rsidRPr="002F4596">
        <w:t>rinitle</w:t>
      </w:r>
      <w:proofErr w:type="spellEnd"/>
      <w:r w:rsidRPr="002F4596">
        <w:t xml:space="preserve"> birlikte olan astım tedavisinde ve semptomlarının giderilmesinde </w:t>
      </w:r>
      <w:proofErr w:type="spellStart"/>
      <w:r w:rsidRPr="002F4596">
        <w:t>endikedir</w:t>
      </w:r>
      <w:proofErr w:type="spellEnd"/>
      <w:r w:rsidRPr="002F4596">
        <w:t>.</w:t>
      </w:r>
    </w:p>
    <w:p w14:paraId="0D65557E" w14:textId="77777777" w:rsidR="00CB2508" w:rsidRPr="002F4596" w:rsidRDefault="00CB2508" w:rsidP="007B7CCA">
      <w:pPr>
        <w:pStyle w:val="GvdeMetni"/>
        <w:spacing w:before="5"/>
        <w:ind w:left="0"/>
        <w:jc w:val="both"/>
      </w:pPr>
    </w:p>
    <w:p w14:paraId="038D83E4" w14:textId="77777777" w:rsidR="00CB2508" w:rsidRPr="002F4596" w:rsidRDefault="00A12CE4" w:rsidP="007B7CCA">
      <w:pPr>
        <w:pStyle w:val="Balk1"/>
        <w:numPr>
          <w:ilvl w:val="1"/>
          <w:numId w:val="2"/>
        </w:numPr>
        <w:tabs>
          <w:tab w:val="left" w:pos="664"/>
        </w:tabs>
        <w:spacing w:line="240" w:lineRule="auto"/>
        <w:ind w:hanging="414"/>
        <w:jc w:val="both"/>
      </w:pPr>
      <w:proofErr w:type="spellStart"/>
      <w:r w:rsidRPr="002F4596">
        <w:t>Pozoloji</w:t>
      </w:r>
      <w:proofErr w:type="spellEnd"/>
      <w:r w:rsidRPr="002F4596">
        <w:t xml:space="preserve"> ve uygulama</w:t>
      </w:r>
      <w:r w:rsidRPr="002F4596">
        <w:rPr>
          <w:spacing w:val="-2"/>
        </w:rPr>
        <w:t xml:space="preserve"> </w:t>
      </w:r>
      <w:r w:rsidRPr="002F4596">
        <w:t>şekli</w:t>
      </w:r>
    </w:p>
    <w:p w14:paraId="67096F62" w14:textId="77777777" w:rsidR="00CB2508" w:rsidRPr="002F4596" w:rsidRDefault="00CB2508" w:rsidP="007B7CCA">
      <w:pPr>
        <w:pStyle w:val="GvdeMetni"/>
        <w:ind w:left="0"/>
        <w:jc w:val="both"/>
        <w:rPr>
          <w:b/>
        </w:rPr>
      </w:pPr>
    </w:p>
    <w:p w14:paraId="7002ED39" w14:textId="77777777" w:rsidR="00CB2508" w:rsidRPr="002F4596" w:rsidRDefault="00A12CE4" w:rsidP="007B7CCA">
      <w:pPr>
        <w:pStyle w:val="ListeParagraf"/>
        <w:numPr>
          <w:ilvl w:val="1"/>
          <w:numId w:val="2"/>
        </w:numPr>
        <w:tabs>
          <w:tab w:val="left" w:pos="664"/>
        </w:tabs>
        <w:spacing w:line="274" w:lineRule="exact"/>
        <w:ind w:hanging="414"/>
        <w:jc w:val="both"/>
        <w:rPr>
          <w:b/>
          <w:sz w:val="24"/>
          <w:szCs w:val="24"/>
        </w:rPr>
      </w:pPr>
      <w:proofErr w:type="spellStart"/>
      <w:r w:rsidRPr="002F4596">
        <w:rPr>
          <w:b/>
          <w:sz w:val="24"/>
          <w:szCs w:val="24"/>
        </w:rPr>
        <w:t>Pozoloji</w:t>
      </w:r>
      <w:proofErr w:type="spellEnd"/>
      <w:r w:rsidRPr="002F4596">
        <w:rPr>
          <w:b/>
          <w:sz w:val="24"/>
          <w:szCs w:val="24"/>
        </w:rPr>
        <w:t>/uygulama sıklığı ve</w:t>
      </w:r>
      <w:r w:rsidRPr="002F4596">
        <w:rPr>
          <w:b/>
          <w:spacing w:val="-2"/>
          <w:sz w:val="24"/>
          <w:szCs w:val="24"/>
        </w:rPr>
        <w:t xml:space="preserve"> </w:t>
      </w:r>
      <w:r w:rsidRPr="002F4596">
        <w:rPr>
          <w:b/>
          <w:sz w:val="24"/>
          <w:szCs w:val="24"/>
        </w:rPr>
        <w:t>süresi:</w:t>
      </w:r>
    </w:p>
    <w:p w14:paraId="3B538FC1" w14:textId="77777777" w:rsidR="00CB2508" w:rsidRPr="002F4596" w:rsidRDefault="00A12CE4" w:rsidP="007B7CCA">
      <w:pPr>
        <w:pStyle w:val="GvdeMetni"/>
        <w:spacing w:line="274" w:lineRule="exact"/>
        <w:jc w:val="both"/>
      </w:pPr>
      <w:r w:rsidRPr="002F4596">
        <w:t xml:space="preserve">Önerilen doz 15 yaş ve üzeri erişkinler için günde bir tablettir (5 mg </w:t>
      </w:r>
      <w:proofErr w:type="spellStart"/>
      <w:r w:rsidRPr="002F4596">
        <w:t>desloratadin</w:t>
      </w:r>
      <w:proofErr w:type="spellEnd"/>
      <w:r w:rsidRPr="002F4596">
        <w:t xml:space="preserve"> ve 10 mg</w:t>
      </w:r>
    </w:p>
    <w:p w14:paraId="0FBEB61C" w14:textId="77777777" w:rsidR="00CB2508" w:rsidRPr="002F4596" w:rsidRDefault="00A12CE4" w:rsidP="007B7CCA">
      <w:pPr>
        <w:pStyle w:val="GvdeMetni"/>
        <w:jc w:val="both"/>
      </w:pPr>
      <w:proofErr w:type="spellStart"/>
      <w:proofErr w:type="gramStart"/>
      <w:r w:rsidRPr="002F4596">
        <w:t>montelukast</w:t>
      </w:r>
      <w:proofErr w:type="spellEnd"/>
      <w:proofErr w:type="gramEnd"/>
      <w:r w:rsidRPr="002F4596">
        <w:t>).</w:t>
      </w:r>
    </w:p>
    <w:p w14:paraId="225CFF3B" w14:textId="77777777" w:rsidR="00CB2508" w:rsidRPr="002F4596" w:rsidRDefault="00CB2508" w:rsidP="007B7CCA">
      <w:pPr>
        <w:pStyle w:val="GvdeMetni"/>
        <w:ind w:left="0"/>
        <w:jc w:val="both"/>
      </w:pPr>
    </w:p>
    <w:p w14:paraId="64B8309B" w14:textId="77777777" w:rsidR="00CB2508" w:rsidRPr="002F4596" w:rsidRDefault="00A12CE4" w:rsidP="007B7CCA">
      <w:pPr>
        <w:pStyle w:val="GvdeMetni"/>
        <w:jc w:val="both"/>
      </w:pPr>
      <w:r w:rsidRPr="002F4596">
        <w:t xml:space="preserve">Uyum için ayrı tabletler halinde </w:t>
      </w:r>
      <w:proofErr w:type="spellStart"/>
      <w:r w:rsidRPr="002F4596">
        <w:t>desloratadin</w:t>
      </w:r>
      <w:proofErr w:type="spellEnd"/>
      <w:r w:rsidRPr="002F4596">
        <w:t xml:space="preserve"> ve </w:t>
      </w:r>
      <w:proofErr w:type="spellStart"/>
      <w:r w:rsidRPr="002F4596">
        <w:t>montelukast</w:t>
      </w:r>
      <w:proofErr w:type="spellEnd"/>
      <w:r w:rsidRPr="002F4596">
        <w:t xml:space="preserve"> alan hastalar aynı bileşen dozlarını içeren </w:t>
      </w:r>
      <w:proofErr w:type="spellStart"/>
      <w:r w:rsidRPr="002F4596">
        <w:t>MONDES'e</w:t>
      </w:r>
      <w:proofErr w:type="spellEnd"/>
      <w:r w:rsidRPr="002F4596">
        <w:t xml:space="preserve"> geçebilirler.</w:t>
      </w:r>
    </w:p>
    <w:p w14:paraId="092D90AA" w14:textId="77777777" w:rsidR="00CB2508" w:rsidRPr="002F4596" w:rsidRDefault="00CB2508" w:rsidP="007B7CCA">
      <w:pPr>
        <w:pStyle w:val="GvdeMetni"/>
        <w:ind w:left="0"/>
        <w:jc w:val="both"/>
      </w:pPr>
    </w:p>
    <w:p w14:paraId="341381E1" w14:textId="77777777" w:rsidR="00CB2508" w:rsidRPr="002F4596" w:rsidRDefault="00A12CE4" w:rsidP="007B7CCA">
      <w:pPr>
        <w:pStyle w:val="GvdeMetni"/>
        <w:ind w:right="104" w:firstLine="2"/>
        <w:jc w:val="both"/>
      </w:pPr>
      <w:proofErr w:type="spellStart"/>
      <w:r w:rsidRPr="002F4596">
        <w:t>İntermittan</w:t>
      </w:r>
      <w:proofErr w:type="spellEnd"/>
      <w:r w:rsidRPr="002F4596">
        <w:t xml:space="preserve"> alerjik </w:t>
      </w:r>
      <w:proofErr w:type="spellStart"/>
      <w:r w:rsidRPr="002F4596">
        <w:t>rinit</w:t>
      </w:r>
      <w:proofErr w:type="spellEnd"/>
      <w:r w:rsidRPr="002F4596">
        <w:t xml:space="preserve"> (semptomların haftada 4 günden daha az ya da 4 haftadan daha kısa süreyle var olması) hastanın öyküsü değerlendirilerek, bu öykü doğrultusunda MONDES ile tedavi edilmelidir. Semptomlar geçtikten sonra tedaviye son verilebilir ve semptomlar yeniden ortaya çıktığında tedavi tekrar başlatılabilir.</w:t>
      </w:r>
    </w:p>
    <w:p w14:paraId="6B6A7073" w14:textId="77777777" w:rsidR="00CB2508" w:rsidRPr="002F4596" w:rsidRDefault="00CB2508" w:rsidP="007B7CCA">
      <w:pPr>
        <w:pStyle w:val="GvdeMetni"/>
        <w:ind w:left="0"/>
        <w:jc w:val="both"/>
      </w:pPr>
    </w:p>
    <w:p w14:paraId="00279FD5" w14:textId="1B6C7AD8" w:rsidR="00D242CE" w:rsidRPr="002F4596" w:rsidRDefault="00A12CE4" w:rsidP="007B7CCA">
      <w:pPr>
        <w:pStyle w:val="GvdeMetni"/>
        <w:ind w:right="102"/>
        <w:jc w:val="both"/>
      </w:pPr>
      <w:r w:rsidRPr="002F4596">
        <w:t xml:space="preserve">Persistan alerjik </w:t>
      </w:r>
      <w:proofErr w:type="spellStart"/>
      <w:r w:rsidRPr="002F4596">
        <w:t>rinitte</w:t>
      </w:r>
      <w:proofErr w:type="spellEnd"/>
      <w:r w:rsidRPr="002F4596">
        <w:t xml:space="preserve"> (semptomların haftada 4 gün ya da daha fazla ve 4 haftadan daha uzun süreyle var olması), hastalara, alerjen temas dönemleri boyunca sürekli tedavi</w:t>
      </w:r>
      <w:r w:rsidR="00E63F30" w:rsidRPr="002F4596">
        <w:t xml:space="preserve"> </w:t>
      </w:r>
      <w:r w:rsidRPr="002F4596">
        <w:t xml:space="preserve">önerilebilir. </w:t>
      </w:r>
    </w:p>
    <w:p w14:paraId="2BB163DF" w14:textId="77777777" w:rsidR="00D242CE" w:rsidRPr="002F4596" w:rsidRDefault="00D242CE" w:rsidP="007B7CCA">
      <w:pPr>
        <w:pStyle w:val="GvdeMetni"/>
        <w:ind w:right="102"/>
        <w:jc w:val="both"/>
      </w:pPr>
    </w:p>
    <w:p w14:paraId="35347383" w14:textId="24EF01DF" w:rsidR="00CB2508" w:rsidRPr="002F4596" w:rsidRDefault="00A12CE4" w:rsidP="007B7CCA">
      <w:pPr>
        <w:pStyle w:val="GvdeMetni"/>
        <w:ind w:right="102"/>
        <w:jc w:val="both"/>
      </w:pPr>
      <w:r w:rsidRPr="002F4596">
        <w:t xml:space="preserve">Alerjik </w:t>
      </w:r>
      <w:proofErr w:type="spellStart"/>
      <w:r w:rsidRPr="002F4596">
        <w:t>rinit</w:t>
      </w:r>
      <w:proofErr w:type="spellEnd"/>
      <w:r w:rsidRPr="002F4596">
        <w:t xml:space="preserve"> ve alerjik kökenli astım üzerinde </w:t>
      </w:r>
      <w:proofErr w:type="spellStart"/>
      <w:r w:rsidRPr="002F4596">
        <w:t>MONDES'in</w:t>
      </w:r>
      <w:proofErr w:type="spellEnd"/>
      <w:r w:rsidRPr="002F4596">
        <w:t xml:space="preserve"> terapötik etkisi bir</w:t>
      </w:r>
      <w:r w:rsidR="00E63F30" w:rsidRPr="002F4596">
        <w:t xml:space="preserve"> </w:t>
      </w:r>
      <w:r w:rsidRPr="002F4596">
        <w:t xml:space="preserve">gün içinde başlar. Hastalara, alerjik temasın yer aldığı dönemlerde de MONDES almaya devam etmeleri </w:t>
      </w:r>
      <w:r w:rsidRPr="002F4596">
        <w:lastRenderedPageBreak/>
        <w:t>tavsiye edilmelidir.</w:t>
      </w:r>
    </w:p>
    <w:p w14:paraId="2359E8E7" w14:textId="77777777" w:rsidR="00CB2508" w:rsidRPr="002F4596" w:rsidRDefault="00CB2508" w:rsidP="007B7CCA">
      <w:pPr>
        <w:pStyle w:val="GvdeMetni"/>
        <w:spacing w:before="4"/>
        <w:ind w:left="0"/>
        <w:jc w:val="both"/>
      </w:pPr>
    </w:p>
    <w:p w14:paraId="4B48A382" w14:textId="77777777" w:rsidR="00CB2508" w:rsidRPr="002F4596" w:rsidRDefault="00A12CE4" w:rsidP="007B7CCA">
      <w:pPr>
        <w:pStyle w:val="Balk1"/>
        <w:spacing w:before="1"/>
        <w:jc w:val="both"/>
      </w:pPr>
      <w:r w:rsidRPr="002F4596">
        <w:t>Uygulama şekli:</w:t>
      </w:r>
    </w:p>
    <w:p w14:paraId="3CB597E8" w14:textId="77777777" w:rsidR="00CB2508" w:rsidRPr="002F4596" w:rsidRDefault="00A12CE4" w:rsidP="007B7CCA">
      <w:pPr>
        <w:pStyle w:val="GvdeMetni"/>
        <w:spacing w:line="274" w:lineRule="exact"/>
        <w:jc w:val="both"/>
      </w:pPr>
      <w:r w:rsidRPr="002F4596">
        <w:t xml:space="preserve">MONDES, ağız yoluyla alınır. </w:t>
      </w:r>
      <w:proofErr w:type="spellStart"/>
      <w:r w:rsidRPr="002F4596">
        <w:t>MONDES'in</w:t>
      </w:r>
      <w:proofErr w:type="spellEnd"/>
      <w:r w:rsidRPr="002F4596">
        <w:t xml:space="preserve"> bir miktar su ile alınması önerilir. </w:t>
      </w:r>
      <w:proofErr w:type="spellStart"/>
      <w:r w:rsidRPr="002F4596">
        <w:t>MONDES'in</w:t>
      </w:r>
      <w:proofErr w:type="spellEnd"/>
    </w:p>
    <w:p w14:paraId="1D91656B" w14:textId="77777777" w:rsidR="00CB2508" w:rsidRPr="002F4596" w:rsidRDefault="00A12CE4" w:rsidP="007B7CCA">
      <w:pPr>
        <w:pStyle w:val="GvdeMetni"/>
        <w:jc w:val="both"/>
      </w:pPr>
      <w:proofErr w:type="gramStart"/>
      <w:r w:rsidRPr="002F4596">
        <w:t>aç</w:t>
      </w:r>
      <w:proofErr w:type="gramEnd"/>
      <w:r w:rsidRPr="002F4596">
        <w:t xml:space="preserve"> veya tok karnına alınmasında herhangi bir sakınca yoktur</w:t>
      </w:r>
    </w:p>
    <w:p w14:paraId="6DEC6DF2" w14:textId="77777777" w:rsidR="00CB2508" w:rsidRPr="002F4596" w:rsidRDefault="00CB2508" w:rsidP="007B7CCA">
      <w:pPr>
        <w:pStyle w:val="GvdeMetni"/>
        <w:spacing w:before="4"/>
        <w:ind w:left="0"/>
        <w:jc w:val="both"/>
      </w:pPr>
    </w:p>
    <w:p w14:paraId="2242BFF9" w14:textId="0596EA54" w:rsidR="00CB2508" w:rsidRPr="002F4596" w:rsidRDefault="00A12CE4" w:rsidP="007B7CCA">
      <w:pPr>
        <w:pStyle w:val="Balk1"/>
        <w:spacing w:line="240" w:lineRule="auto"/>
        <w:jc w:val="both"/>
      </w:pPr>
      <w:r w:rsidRPr="002F4596">
        <w:t>Özel popülasyonlara ilişkin ek bilgiler:</w:t>
      </w:r>
    </w:p>
    <w:p w14:paraId="09A8568F" w14:textId="77777777" w:rsidR="009D4A1E" w:rsidRPr="002F4596" w:rsidRDefault="009D4A1E" w:rsidP="007B7CCA">
      <w:pPr>
        <w:pStyle w:val="Balk1"/>
        <w:spacing w:line="240" w:lineRule="auto"/>
        <w:jc w:val="both"/>
      </w:pPr>
    </w:p>
    <w:p w14:paraId="17F667F7" w14:textId="1167D11B" w:rsidR="00066220" w:rsidRPr="002F4596" w:rsidRDefault="00A12CE4" w:rsidP="009D4A1E">
      <w:pPr>
        <w:ind w:left="250"/>
        <w:jc w:val="both"/>
        <w:rPr>
          <w:b/>
          <w:sz w:val="24"/>
          <w:szCs w:val="24"/>
        </w:rPr>
      </w:pPr>
      <w:r w:rsidRPr="002F4596">
        <w:rPr>
          <w:b/>
          <w:sz w:val="24"/>
          <w:szCs w:val="24"/>
        </w:rPr>
        <w:t>Böbrek/Karaciğer yetmezliği:</w:t>
      </w:r>
    </w:p>
    <w:p w14:paraId="62FF1E4F" w14:textId="5E8186A6" w:rsidR="00066220" w:rsidRPr="002F4596" w:rsidRDefault="00066220" w:rsidP="007B7CCA">
      <w:pPr>
        <w:ind w:left="250"/>
        <w:jc w:val="both"/>
        <w:rPr>
          <w:sz w:val="24"/>
          <w:szCs w:val="24"/>
        </w:rPr>
      </w:pPr>
      <w:r w:rsidRPr="002F4596">
        <w:rPr>
          <w:sz w:val="24"/>
          <w:szCs w:val="24"/>
        </w:rPr>
        <w:t xml:space="preserve">Böbrek yetmezliği olan hastalarda </w:t>
      </w:r>
      <w:proofErr w:type="spellStart"/>
      <w:r w:rsidRPr="002F4596">
        <w:rPr>
          <w:sz w:val="24"/>
          <w:szCs w:val="24"/>
        </w:rPr>
        <w:t>montelukast</w:t>
      </w:r>
      <w:proofErr w:type="spellEnd"/>
      <w:r w:rsidRPr="002F4596">
        <w:rPr>
          <w:sz w:val="24"/>
          <w:szCs w:val="24"/>
        </w:rPr>
        <w:t xml:space="preserve"> dozunun ayarlanmasına gerek yoktur (bkz. Bölüm 5.2); ancak şiddetli böbrek yetmezliğinde, </w:t>
      </w:r>
      <w:proofErr w:type="spellStart"/>
      <w:r w:rsidRPr="002F4596">
        <w:rPr>
          <w:sz w:val="24"/>
          <w:szCs w:val="24"/>
        </w:rPr>
        <w:t>desloratadinden</w:t>
      </w:r>
      <w:proofErr w:type="spellEnd"/>
      <w:r w:rsidRPr="002F4596">
        <w:rPr>
          <w:sz w:val="24"/>
          <w:szCs w:val="24"/>
        </w:rPr>
        <w:t xml:space="preserve"> dolayı, </w:t>
      </w:r>
      <w:r w:rsidR="00B25B6A" w:rsidRPr="002F4596">
        <w:rPr>
          <w:sz w:val="24"/>
          <w:szCs w:val="24"/>
        </w:rPr>
        <w:t>MONDES</w:t>
      </w:r>
      <w:r w:rsidRPr="002F4596">
        <w:rPr>
          <w:sz w:val="24"/>
          <w:szCs w:val="24"/>
        </w:rPr>
        <w:t xml:space="preserve"> dikkatle kullanılmalıdır.</w:t>
      </w:r>
    </w:p>
    <w:p w14:paraId="703AA3A6" w14:textId="77777777" w:rsidR="00066220" w:rsidRPr="002F4596" w:rsidRDefault="00066220" w:rsidP="007B7CCA">
      <w:pPr>
        <w:ind w:left="250"/>
        <w:jc w:val="both"/>
        <w:rPr>
          <w:sz w:val="24"/>
          <w:szCs w:val="24"/>
        </w:rPr>
      </w:pPr>
    </w:p>
    <w:p w14:paraId="14A5072D" w14:textId="77777777" w:rsidR="00066220" w:rsidRPr="002F4596" w:rsidRDefault="00066220" w:rsidP="007B7CCA">
      <w:pPr>
        <w:ind w:left="250"/>
        <w:jc w:val="both"/>
        <w:rPr>
          <w:bCs/>
          <w:sz w:val="24"/>
          <w:szCs w:val="24"/>
        </w:rPr>
      </w:pPr>
      <w:r w:rsidRPr="002F4596">
        <w:rPr>
          <w:sz w:val="24"/>
          <w:szCs w:val="24"/>
        </w:rPr>
        <w:t xml:space="preserve">Karaciğer yetmezliği olan hastalarda </w:t>
      </w:r>
      <w:proofErr w:type="spellStart"/>
      <w:r w:rsidRPr="002F4596">
        <w:rPr>
          <w:sz w:val="24"/>
          <w:szCs w:val="24"/>
        </w:rPr>
        <w:t>desloratadin</w:t>
      </w:r>
      <w:proofErr w:type="spellEnd"/>
      <w:r w:rsidRPr="002F4596">
        <w:rPr>
          <w:sz w:val="24"/>
          <w:szCs w:val="24"/>
        </w:rPr>
        <w:t xml:space="preserve"> kullanımına ilişkin doz ayarlanmasına gerek yoktur. Hafif-orta derece karaciğer yetmezliği olan hastalarda </w:t>
      </w:r>
      <w:proofErr w:type="spellStart"/>
      <w:r w:rsidRPr="002F4596">
        <w:rPr>
          <w:sz w:val="24"/>
          <w:szCs w:val="24"/>
        </w:rPr>
        <w:t>montelukast</w:t>
      </w:r>
      <w:proofErr w:type="spellEnd"/>
      <w:r w:rsidRPr="002F4596">
        <w:rPr>
          <w:sz w:val="24"/>
          <w:szCs w:val="24"/>
        </w:rPr>
        <w:t xml:space="preserve"> dozunun ayarlanmasına gerek yoktur (bkz. Bölüm 5.2). Ciddi karaciğer yetmezliği olan hastalarda veri yoktur</w:t>
      </w:r>
      <w:r w:rsidRPr="002F4596">
        <w:rPr>
          <w:bCs/>
          <w:sz w:val="24"/>
          <w:szCs w:val="24"/>
        </w:rPr>
        <w:t>.</w:t>
      </w:r>
    </w:p>
    <w:p w14:paraId="7EC494B7" w14:textId="526AC02C" w:rsidR="00CB2508" w:rsidRPr="002F4596" w:rsidRDefault="00CB2508" w:rsidP="007B7CCA">
      <w:pPr>
        <w:pStyle w:val="GvdeMetni"/>
        <w:spacing w:before="4"/>
        <w:ind w:left="0"/>
        <w:jc w:val="both"/>
      </w:pPr>
    </w:p>
    <w:p w14:paraId="568A39D3" w14:textId="77777777" w:rsidR="00CB2508" w:rsidRPr="002F4596" w:rsidRDefault="00A12CE4" w:rsidP="007B7CCA">
      <w:pPr>
        <w:pStyle w:val="Balk1"/>
        <w:spacing w:before="1"/>
        <w:jc w:val="both"/>
      </w:pPr>
      <w:r w:rsidRPr="002F4596">
        <w:t>Pediyatrik popülasyon:</w:t>
      </w:r>
    </w:p>
    <w:p w14:paraId="32498EA1" w14:textId="007D4861" w:rsidR="003249A2" w:rsidRPr="002F4596" w:rsidRDefault="00F64940" w:rsidP="007B7CCA">
      <w:pPr>
        <w:pStyle w:val="GvdeMetni"/>
        <w:ind w:right="106"/>
        <w:jc w:val="both"/>
      </w:pPr>
      <w:proofErr w:type="spellStart"/>
      <w:r w:rsidRPr="002F4596">
        <w:t>MONDES</w:t>
      </w:r>
      <w:r w:rsidR="003249A2" w:rsidRPr="002F4596">
        <w:t>’</w:t>
      </w:r>
      <w:r w:rsidRPr="002F4596">
        <w:t>i</w:t>
      </w:r>
      <w:r w:rsidR="003249A2" w:rsidRPr="002F4596">
        <w:t>n</w:t>
      </w:r>
      <w:proofErr w:type="spellEnd"/>
      <w:r w:rsidR="003249A2" w:rsidRPr="002F4596">
        <w:t>, dozu nedeniyle, 15 yaşın altındaki hastalarda kullanılması önerilmez.</w:t>
      </w:r>
    </w:p>
    <w:p w14:paraId="19684FCF" w14:textId="77777777" w:rsidR="00CB2508" w:rsidRPr="002F4596" w:rsidRDefault="00CB2508" w:rsidP="007B7CCA">
      <w:pPr>
        <w:pStyle w:val="GvdeMetni"/>
        <w:spacing w:before="2"/>
        <w:ind w:left="0"/>
        <w:jc w:val="both"/>
      </w:pPr>
    </w:p>
    <w:p w14:paraId="60C95FFC" w14:textId="1A0D6EB7" w:rsidR="009229ED" w:rsidRPr="002F4596" w:rsidRDefault="00A12CE4" w:rsidP="009D4A1E">
      <w:pPr>
        <w:pStyle w:val="Balk1"/>
        <w:jc w:val="both"/>
      </w:pPr>
      <w:proofErr w:type="spellStart"/>
      <w:r w:rsidRPr="002F4596">
        <w:t>Geriyatrik</w:t>
      </w:r>
      <w:proofErr w:type="spellEnd"/>
      <w:r w:rsidRPr="002F4596">
        <w:t xml:space="preserve"> popülasyon:</w:t>
      </w:r>
    </w:p>
    <w:p w14:paraId="045A44FA" w14:textId="3A9EFCA2" w:rsidR="00066220" w:rsidRPr="002F4596" w:rsidRDefault="00066220" w:rsidP="007B7CCA">
      <w:pPr>
        <w:pStyle w:val="GvdeMetni"/>
        <w:ind w:right="109"/>
        <w:jc w:val="both"/>
        <w:rPr>
          <w:strike/>
        </w:rPr>
      </w:pPr>
      <w:proofErr w:type="spellStart"/>
      <w:r w:rsidRPr="002F4596">
        <w:t>Desloratadinin</w:t>
      </w:r>
      <w:proofErr w:type="spellEnd"/>
      <w:r w:rsidRPr="002F4596">
        <w:t xml:space="preserve"> geriatrik popülasyonu hedefleyen bir spesifik çalışması bulunmamaktadır. </w:t>
      </w:r>
      <w:proofErr w:type="spellStart"/>
      <w:r w:rsidRPr="002F4596">
        <w:t>Montelukastın</w:t>
      </w:r>
      <w:proofErr w:type="spellEnd"/>
      <w:r w:rsidRPr="002F4596">
        <w:t xml:space="preserve"> klinik çalışmalarına dahil edilen toplam denek sayısının %3,5’ini 65 yaş ve üzeri kişiler ve %0,4’ünü 75 yaş ve üzeri kişiler oluşturmuştur. Bu kişiler ile daha genç kişiler arasında güvenlilik ve etkililik bakımından genel farklar gözlenmemiş ve bildirilen diğer deneyimler yaşlı ve genç hastalar arasında yanıtlar yönünden farklar belirlememiştir. Ancak, bazı yaşlı kişilerde duyarlılığın artması dışlanamaz</w:t>
      </w:r>
      <w:r w:rsidR="00E63F30" w:rsidRPr="002F4596">
        <w:t>.</w:t>
      </w:r>
    </w:p>
    <w:p w14:paraId="1614CF17" w14:textId="77777777" w:rsidR="00CB2508" w:rsidRPr="002F4596" w:rsidRDefault="00CB2508" w:rsidP="007B7CCA">
      <w:pPr>
        <w:pStyle w:val="GvdeMetni"/>
        <w:spacing w:before="2"/>
        <w:ind w:left="0"/>
        <w:jc w:val="both"/>
      </w:pPr>
    </w:p>
    <w:p w14:paraId="4F7BEDF4" w14:textId="105D0FE4" w:rsidR="009229ED" w:rsidRPr="002F4596" w:rsidRDefault="00A12CE4" w:rsidP="009D4A1E">
      <w:pPr>
        <w:pStyle w:val="Balk1"/>
        <w:spacing w:before="1" w:line="272" w:lineRule="exact"/>
        <w:jc w:val="both"/>
      </w:pPr>
      <w:r w:rsidRPr="002F4596">
        <w:t>Diğer astım tedavileriyle birlikte MONDES ile tedavi</w:t>
      </w:r>
    </w:p>
    <w:p w14:paraId="4FD114F9" w14:textId="77777777" w:rsidR="00066220" w:rsidRPr="002F4596" w:rsidRDefault="00066220" w:rsidP="007B7CCA">
      <w:pPr>
        <w:ind w:firstLine="250"/>
        <w:jc w:val="both"/>
        <w:rPr>
          <w:sz w:val="24"/>
          <w:szCs w:val="24"/>
        </w:rPr>
      </w:pPr>
      <w:proofErr w:type="spellStart"/>
      <w:r w:rsidRPr="002F4596">
        <w:rPr>
          <w:sz w:val="24"/>
          <w:szCs w:val="24"/>
        </w:rPr>
        <w:t>İnhale</w:t>
      </w:r>
      <w:proofErr w:type="spellEnd"/>
      <w:r w:rsidRPr="002F4596">
        <w:rPr>
          <w:sz w:val="24"/>
          <w:szCs w:val="24"/>
        </w:rPr>
        <w:t xml:space="preserve"> kortikosteroidler:</w:t>
      </w:r>
    </w:p>
    <w:p w14:paraId="231E7A23" w14:textId="77777777" w:rsidR="00066220" w:rsidRPr="002F4596" w:rsidRDefault="00066220" w:rsidP="007B7CCA">
      <w:pPr>
        <w:ind w:firstLine="250"/>
        <w:jc w:val="both"/>
        <w:rPr>
          <w:sz w:val="24"/>
          <w:szCs w:val="24"/>
        </w:rPr>
      </w:pPr>
      <w:proofErr w:type="spellStart"/>
      <w:r w:rsidRPr="002F4596">
        <w:rPr>
          <w:sz w:val="24"/>
          <w:szCs w:val="24"/>
        </w:rPr>
        <w:t>İnhale</w:t>
      </w:r>
      <w:proofErr w:type="spellEnd"/>
      <w:r w:rsidRPr="002F4596">
        <w:rPr>
          <w:sz w:val="24"/>
          <w:szCs w:val="24"/>
        </w:rPr>
        <w:t xml:space="preserve"> kortikosteroidlerle ve/veya kısa etkili β-agonistlerle yeterli klinik kontrol sağlanamayan</w:t>
      </w:r>
    </w:p>
    <w:p w14:paraId="634056D9" w14:textId="61C2F8C0" w:rsidR="00066220" w:rsidRPr="002F4596" w:rsidRDefault="00066220" w:rsidP="007B7CCA">
      <w:pPr>
        <w:ind w:firstLine="249"/>
        <w:jc w:val="both"/>
        <w:rPr>
          <w:sz w:val="24"/>
          <w:szCs w:val="24"/>
        </w:rPr>
      </w:pPr>
      <w:proofErr w:type="gramStart"/>
      <w:r w:rsidRPr="002F4596">
        <w:rPr>
          <w:sz w:val="24"/>
          <w:szCs w:val="24"/>
        </w:rPr>
        <w:t>hastalarda</w:t>
      </w:r>
      <w:proofErr w:type="gramEnd"/>
      <w:r w:rsidRPr="002F4596">
        <w:rPr>
          <w:sz w:val="24"/>
          <w:szCs w:val="24"/>
        </w:rPr>
        <w:t xml:space="preserve"> gerektiğinde </w:t>
      </w:r>
      <w:r w:rsidR="00B25B6A" w:rsidRPr="002F4596">
        <w:rPr>
          <w:sz w:val="24"/>
          <w:szCs w:val="24"/>
        </w:rPr>
        <w:t>MONDES</w:t>
      </w:r>
      <w:r w:rsidRPr="002F4596">
        <w:rPr>
          <w:sz w:val="24"/>
          <w:szCs w:val="24"/>
        </w:rPr>
        <w:t xml:space="preserve"> tedavisi ek tedavi olarak kullanılabilir.</w:t>
      </w:r>
    </w:p>
    <w:p w14:paraId="36509D45" w14:textId="55258D82" w:rsidR="00066220" w:rsidRPr="002F4596" w:rsidRDefault="00066220" w:rsidP="007B7CCA">
      <w:pPr>
        <w:ind w:left="249"/>
        <w:jc w:val="both"/>
        <w:rPr>
          <w:sz w:val="24"/>
          <w:szCs w:val="24"/>
        </w:rPr>
      </w:pPr>
      <w:r w:rsidRPr="002F4596">
        <w:rPr>
          <w:sz w:val="24"/>
          <w:szCs w:val="24"/>
        </w:rPr>
        <w:t xml:space="preserve">Gerekli durumlarda </w:t>
      </w:r>
      <w:proofErr w:type="spellStart"/>
      <w:r w:rsidRPr="002F4596">
        <w:rPr>
          <w:sz w:val="24"/>
          <w:szCs w:val="24"/>
        </w:rPr>
        <w:t>inhale</w:t>
      </w:r>
      <w:proofErr w:type="spellEnd"/>
      <w:r w:rsidRPr="002F4596">
        <w:rPr>
          <w:sz w:val="24"/>
          <w:szCs w:val="24"/>
        </w:rPr>
        <w:t xml:space="preserve"> kortikosteroidin dozu yavaş yavaş azaltılab</w:t>
      </w:r>
      <w:r w:rsidR="0099203A" w:rsidRPr="002F4596">
        <w:rPr>
          <w:sz w:val="24"/>
          <w:szCs w:val="24"/>
        </w:rPr>
        <w:t xml:space="preserve">ilir. Ancak </w:t>
      </w:r>
      <w:proofErr w:type="spellStart"/>
      <w:r w:rsidR="0099203A" w:rsidRPr="002F4596">
        <w:rPr>
          <w:sz w:val="24"/>
          <w:szCs w:val="24"/>
        </w:rPr>
        <w:t>inhale</w:t>
      </w:r>
      <w:proofErr w:type="spellEnd"/>
      <w:r w:rsidR="0099203A" w:rsidRPr="002F4596">
        <w:rPr>
          <w:sz w:val="24"/>
          <w:szCs w:val="24"/>
        </w:rPr>
        <w:t xml:space="preserve"> </w:t>
      </w:r>
      <w:r w:rsidRPr="002F4596">
        <w:rPr>
          <w:sz w:val="24"/>
          <w:szCs w:val="24"/>
        </w:rPr>
        <w:t xml:space="preserve">kortikosteroidler aniden kesilerek </w:t>
      </w:r>
      <w:r w:rsidR="00B25B6A" w:rsidRPr="002F4596">
        <w:rPr>
          <w:sz w:val="24"/>
          <w:szCs w:val="24"/>
        </w:rPr>
        <w:t>MONDES</w:t>
      </w:r>
      <w:r w:rsidRPr="002F4596">
        <w:rPr>
          <w:sz w:val="24"/>
          <w:szCs w:val="24"/>
        </w:rPr>
        <w:t xml:space="preserve"> ile tedavi başlanmamalıdır.</w:t>
      </w:r>
    </w:p>
    <w:p w14:paraId="4DAE431F" w14:textId="77777777" w:rsidR="0099203A" w:rsidRPr="002F4596" w:rsidRDefault="0099203A" w:rsidP="007B7CCA">
      <w:pPr>
        <w:ind w:left="249"/>
        <w:jc w:val="both"/>
        <w:rPr>
          <w:sz w:val="24"/>
          <w:szCs w:val="24"/>
        </w:rPr>
      </w:pPr>
    </w:p>
    <w:p w14:paraId="3151DB0C" w14:textId="77777777" w:rsidR="00CB2508" w:rsidRPr="002F4596" w:rsidRDefault="00A12CE4" w:rsidP="007B7CCA">
      <w:pPr>
        <w:pStyle w:val="Balk1"/>
        <w:numPr>
          <w:ilvl w:val="1"/>
          <w:numId w:val="1"/>
        </w:numPr>
        <w:tabs>
          <w:tab w:val="left" w:pos="664"/>
        </w:tabs>
        <w:spacing w:before="60"/>
        <w:ind w:hanging="414"/>
        <w:jc w:val="both"/>
      </w:pPr>
      <w:r w:rsidRPr="002F4596">
        <w:t>Kontrendikasyonlar</w:t>
      </w:r>
    </w:p>
    <w:p w14:paraId="2C4D2C95" w14:textId="00CC403E" w:rsidR="00CB2508" w:rsidRPr="002F4596" w:rsidRDefault="00A12CE4" w:rsidP="007B7CCA">
      <w:pPr>
        <w:pStyle w:val="GvdeMetni"/>
        <w:jc w:val="both"/>
      </w:pPr>
      <w:r w:rsidRPr="002F4596">
        <w:t>MONDES içeriğindeki etkin maddeye ya da yardımcı maddelere</w:t>
      </w:r>
      <w:r w:rsidR="0099203A" w:rsidRPr="002F4596">
        <w:t xml:space="preserve"> (bkz. Bölüm 6.1)</w:t>
      </w:r>
      <w:r w:rsidRPr="002F4596">
        <w:t xml:space="preserve"> karşı aşırı duyarlılık durumlarında kontrendikedir.</w:t>
      </w:r>
    </w:p>
    <w:p w14:paraId="45600F4D" w14:textId="77777777" w:rsidR="0073096E" w:rsidRPr="002F4596" w:rsidRDefault="0073096E" w:rsidP="007B7CCA">
      <w:pPr>
        <w:pStyle w:val="GvdeMetni"/>
        <w:spacing w:before="3"/>
        <w:ind w:left="0"/>
        <w:jc w:val="both"/>
      </w:pPr>
    </w:p>
    <w:p w14:paraId="0295C261" w14:textId="197F3068" w:rsidR="00581582" w:rsidRPr="002F4596" w:rsidRDefault="00A12CE4" w:rsidP="009D4A1E">
      <w:pPr>
        <w:pStyle w:val="Balk1"/>
        <w:numPr>
          <w:ilvl w:val="1"/>
          <w:numId w:val="1"/>
        </w:numPr>
        <w:tabs>
          <w:tab w:val="left" w:pos="664"/>
        </w:tabs>
        <w:ind w:hanging="414"/>
        <w:jc w:val="both"/>
      </w:pPr>
      <w:r w:rsidRPr="002F4596">
        <w:t>Özel kullanım uyarıları ve</w:t>
      </w:r>
      <w:r w:rsidRPr="002F4596">
        <w:rPr>
          <w:spacing w:val="-6"/>
        </w:rPr>
        <w:t xml:space="preserve"> </w:t>
      </w:r>
      <w:r w:rsidRPr="002F4596">
        <w:t>Önlemleri</w:t>
      </w:r>
    </w:p>
    <w:p w14:paraId="3B884AB3" w14:textId="77777777" w:rsidR="00581582" w:rsidRPr="002F4596" w:rsidRDefault="00581582" w:rsidP="00581582">
      <w:pPr>
        <w:pStyle w:val="GvdeMetni"/>
        <w:jc w:val="both"/>
        <w:rPr>
          <w:u w:val="single"/>
        </w:rPr>
      </w:pPr>
      <w:proofErr w:type="spellStart"/>
      <w:r w:rsidRPr="002F4596">
        <w:rPr>
          <w:u w:val="single"/>
        </w:rPr>
        <w:t>Desloratadin</w:t>
      </w:r>
      <w:proofErr w:type="spellEnd"/>
    </w:p>
    <w:p w14:paraId="53854A82" w14:textId="6B2EB593" w:rsidR="00581582" w:rsidRPr="002F4596" w:rsidRDefault="00581582" w:rsidP="00581582">
      <w:pPr>
        <w:pStyle w:val="GvdeMetni"/>
        <w:jc w:val="both"/>
      </w:pPr>
      <w:r w:rsidRPr="002F4596">
        <w:t xml:space="preserve">Nöropsikiyatrik vakalar </w:t>
      </w:r>
      <w:proofErr w:type="spellStart"/>
      <w:r w:rsidRPr="002F4596">
        <w:t>desloratadin</w:t>
      </w:r>
      <w:proofErr w:type="spellEnd"/>
      <w:r w:rsidRPr="002F4596">
        <w:t xml:space="preserve">, </w:t>
      </w:r>
      <w:proofErr w:type="spellStart"/>
      <w:r w:rsidRPr="002F4596">
        <w:t>desloratadin</w:t>
      </w:r>
      <w:proofErr w:type="spellEnd"/>
      <w:r w:rsidRPr="002F4596">
        <w:t xml:space="preserve"> tedavisi altında yeni nöbetler geliştirmeye daha yatkın olan, tıbbi veya ailesel nöbet öyküsü olan hastalarda, özellikle küçük çocuklarda dikkatle uygulanmalıdır. Sağlık çalışanları, tedavi sırasında nöbet geçiren hastalarda </w:t>
      </w:r>
      <w:proofErr w:type="spellStart"/>
      <w:r w:rsidRPr="002F4596">
        <w:t>desloratadin</w:t>
      </w:r>
      <w:proofErr w:type="spellEnd"/>
      <w:r w:rsidRPr="002F4596">
        <w:t xml:space="preserve"> tedavisini durdurmayı düşünebilir. Böbrek fonksiyon bozukluğu, şiddetli böbrek yetmezliği durumunda </w:t>
      </w:r>
      <w:proofErr w:type="spellStart"/>
      <w:r w:rsidRPr="002F4596">
        <w:t>desloratadin</w:t>
      </w:r>
      <w:proofErr w:type="spellEnd"/>
      <w:r w:rsidRPr="002F4596">
        <w:t xml:space="preserve"> dikkatle kullanılmalıdır (bkz. Bölüm 5.2).</w:t>
      </w:r>
    </w:p>
    <w:p w14:paraId="0D4EE54B" w14:textId="77777777" w:rsidR="009229ED" w:rsidRPr="002F4596" w:rsidRDefault="009229ED" w:rsidP="007B7CCA">
      <w:pPr>
        <w:pStyle w:val="GvdeMetni"/>
        <w:ind w:left="0"/>
        <w:jc w:val="both"/>
        <w:rPr>
          <w:strike/>
        </w:rPr>
      </w:pPr>
    </w:p>
    <w:p w14:paraId="6F321570" w14:textId="54EB6AE1" w:rsidR="0099203A" w:rsidRPr="002F4596" w:rsidRDefault="00063B01" w:rsidP="007B7CCA">
      <w:pPr>
        <w:pStyle w:val="GvdeMetni"/>
        <w:ind w:left="249"/>
        <w:jc w:val="both"/>
      </w:pPr>
      <w:proofErr w:type="spellStart"/>
      <w:r w:rsidRPr="002F4596">
        <w:t>Montelukast</w:t>
      </w:r>
      <w:proofErr w:type="spellEnd"/>
      <w:r w:rsidRPr="002F4596">
        <w:t xml:space="preserve"> hastalara </w:t>
      </w:r>
      <w:r w:rsidR="0099203A" w:rsidRPr="002F4596">
        <w:t>akut astım ataklarının tedavisi için hiçbir zaman kullanmamaları ve kendi olağan kurtarıcı ilaçlarını bu amaçla kullanmak üzere kolayca erişebilecekleri bir yerde göz önünde tutmaları gerektiği söylenmelidir.</w:t>
      </w:r>
    </w:p>
    <w:p w14:paraId="6F6D579B" w14:textId="77777777" w:rsidR="0099203A" w:rsidRPr="002F4596" w:rsidRDefault="0099203A" w:rsidP="007B7CCA">
      <w:pPr>
        <w:pStyle w:val="GvdeMetni"/>
        <w:jc w:val="both"/>
      </w:pPr>
    </w:p>
    <w:p w14:paraId="50C6C121" w14:textId="77777777" w:rsidR="0099203A" w:rsidRPr="002F4596" w:rsidRDefault="0099203A" w:rsidP="007B7CCA">
      <w:pPr>
        <w:pStyle w:val="GvdeMetni"/>
        <w:jc w:val="both"/>
      </w:pPr>
      <w:r w:rsidRPr="002F4596">
        <w:lastRenderedPageBreak/>
        <w:t xml:space="preserve">Akut bir atak yaşandığında kısa etkili </w:t>
      </w:r>
      <w:proofErr w:type="spellStart"/>
      <w:r w:rsidRPr="002F4596">
        <w:t>inhale</w:t>
      </w:r>
      <w:proofErr w:type="spellEnd"/>
      <w:r w:rsidRPr="002F4596">
        <w:t xml:space="preserve"> bir beta-agonist kullanılmalıdır. Hastalar kısa etkili beta-agonistlerin normalden daha fazla inhalasyonuna ihtiyaç duyduklarında mümkün olan en kısa sürede doktorlarına başvurmalıdır.</w:t>
      </w:r>
    </w:p>
    <w:p w14:paraId="44D7CF7C" w14:textId="77777777" w:rsidR="0099203A" w:rsidRPr="002F4596" w:rsidRDefault="0099203A" w:rsidP="00F32CA1">
      <w:pPr>
        <w:pStyle w:val="GvdeMetni"/>
        <w:ind w:left="0"/>
        <w:jc w:val="both"/>
      </w:pPr>
    </w:p>
    <w:p w14:paraId="263F941A" w14:textId="77777777" w:rsidR="0099203A" w:rsidRPr="002F4596" w:rsidRDefault="0099203A" w:rsidP="007B7CCA">
      <w:pPr>
        <w:pStyle w:val="GvdeMetni"/>
        <w:jc w:val="both"/>
      </w:pPr>
      <w:proofErr w:type="spellStart"/>
      <w:r w:rsidRPr="002F4596">
        <w:t>Montelukast</w:t>
      </w:r>
      <w:proofErr w:type="spellEnd"/>
      <w:r w:rsidRPr="002F4596">
        <w:t xml:space="preserve"> </w:t>
      </w:r>
      <w:proofErr w:type="spellStart"/>
      <w:r w:rsidRPr="002F4596">
        <w:t>inhale</w:t>
      </w:r>
      <w:proofErr w:type="spellEnd"/>
      <w:r w:rsidRPr="002F4596">
        <w:t xml:space="preserve"> veya oral kortikosteroidler kesilerek bunların yerine ani olarak başlanmamalıdır.</w:t>
      </w:r>
    </w:p>
    <w:p w14:paraId="70216AEE" w14:textId="77777777" w:rsidR="0099203A" w:rsidRPr="002F4596" w:rsidRDefault="0099203A" w:rsidP="007B7CCA">
      <w:pPr>
        <w:pStyle w:val="GvdeMetni"/>
        <w:jc w:val="both"/>
      </w:pPr>
    </w:p>
    <w:p w14:paraId="03BBBEA2" w14:textId="1796226E" w:rsidR="00063B01" w:rsidRPr="002F4596" w:rsidRDefault="00063B01" w:rsidP="00063B01">
      <w:pPr>
        <w:pStyle w:val="GvdeMetni"/>
        <w:jc w:val="both"/>
      </w:pPr>
      <w:r w:rsidRPr="002F4596">
        <w:t xml:space="preserve">Eş zamanlı olarak </w:t>
      </w:r>
      <w:proofErr w:type="spellStart"/>
      <w:r w:rsidRPr="002F4596">
        <w:t>montelukast</w:t>
      </w:r>
      <w:proofErr w:type="spellEnd"/>
      <w:r w:rsidRPr="002F4596">
        <w:t xml:space="preserve"> verildiğinde oral kortikosteroidlerin dozunun azaltılabileceğini gösteren hiçbir veri yoktur.</w:t>
      </w:r>
    </w:p>
    <w:p w14:paraId="51479392" w14:textId="77777777" w:rsidR="00841FEF" w:rsidRPr="002F4596" w:rsidRDefault="00841FEF" w:rsidP="00F32CA1">
      <w:pPr>
        <w:pStyle w:val="GvdeMetni"/>
        <w:ind w:left="0"/>
        <w:jc w:val="both"/>
      </w:pPr>
    </w:p>
    <w:p w14:paraId="3EE31A38" w14:textId="500BDC85" w:rsidR="00841FEF" w:rsidRPr="002F4596" w:rsidRDefault="00841FEF" w:rsidP="00EE11A7">
      <w:pPr>
        <w:pBdr>
          <w:top w:val="single" w:sz="4" w:space="0" w:color="000000"/>
          <w:left w:val="single" w:sz="4" w:space="0" w:color="000000"/>
          <w:bottom w:val="single" w:sz="4" w:space="0" w:color="000000"/>
          <w:right w:val="single" w:sz="4" w:space="0" w:color="000000"/>
        </w:pBdr>
        <w:spacing w:after="125" w:line="271" w:lineRule="auto"/>
        <w:ind w:left="250"/>
        <w:jc w:val="both"/>
      </w:pPr>
      <w:r w:rsidRPr="002F4596">
        <w:rPr>
          <w:b/>
        </w:rPr>
        <w:t xml:space="preserve">Nöropsikiyatrik olaylar </w:t>
      </w:r>
    </w:p>
    <w:p w14:paraId="2971A7A5" w14:textId="77777777" w:rsidR="00841FEF" w:rsidRPr="002F4596" w:rsidRDefault="00841FEF" w:rsidP="00EE11A7">
      <w:pPr>
        <w:pBdr>
          <w:top w:val="single" w:sz="4" w:space="0" w:color="000000"/>
          <w:left w:val="single" w:sz="4" w:space="0" w:color="000000"/>
          <w:bottom w:val="single" w:sz="4" w:space="0" w:color="000000"/>
          <w:right w:val="single" w:sz="4" w:space="0" w:color="000000"/>
        </w:pBdr>
        <w:spacing w:line="271" w:lineRule="auto"/>
        <w:ind w:left="250"/>
        <w:jc w:val="both"/>
      </w:pPr>
      <w:proofErr w:type="spellStart"/>
      <w:r w:rsidRPr="002F4596">
        <w:rPr>
          <w:b/>
        </w:rPr>
        <w:t>Montelukast</w:t>
      </w:r>
      <w:proofErr w:type="spellEnd"/>
      <w:r w:rsidRPr="002F4596">
        <w:rPr>
          <w:b/>
        </w:rPr>
        <w:t xml:space="preserve"> kullanan tüm yaş gruplarında davranış değişiklikleri, depresyon ve intihar eğilimi gibi nöropsikiyatrik olaylar bildirilmiştir (bkz. bölüm 4.8). </w:t>
      </w:r>
    </w:p>
    <w:p w14:paraId="08391B7E" w14:textId="77777777" w:rsidR="00841FEF" w:rsidRPr="002F4596" w:rsidRDefault="00841FEF" w:rsidP="00EE11A7">
      <w:pPr>
        <w:pBdr>
          <w:top w:val="single" w:sz="4" w:space="0" w:color="000000"/>
          <w:left w:val="single" w:sz="4" w:space="0" w:color="000000"/>
          <w:bottom w:val="single" w:sz="4" w:space="0" w:color="000000"/>
          <w:right w:val="single" w:sz="4" w:space="0" w:color="000000"/>
        </w:pBdr>
        <w:spacing w:line="271" w:lineRule="auto"/>
        <w:ind w:left="250"/>
        <w:jc w:val="both"/>
      </w:pPr>
      <w:r w:rsidRPr="002F4596">
        <w:rPr>
          <w:b/>
        </w:rPr>
        <w:t xml:space="preserve">Tedavi kesilmediği takdirde semptomlar ciddi olabilir ve devam edebilir. </w:t>
      </w:r>
    </w:p>
    <w:p w14:paraId="11E06D3E" w14:textId="77777777" w:rsidR="00841FEF" w:rsidRPr="002F4596" w:rsidRDefault="00841FEF" w:rsidP="00EE11A7">
      <w:pPr>
        <w:pBdr>
          <w:top w:val="single" w:sz="4" w:space="0" w:color="000000"/>
          <w:left w:val="single" w:sz="4" w:space="0" w:color="000000"/>
          <w:bottom w:val="single" w:sz="4" w:space="0" w:color="000000"/>
          <w:right w:val="single" w:sz="4" w:space="0" w:color="000000"/>
        </w:pBdr>
        <w:spacing w:line="271" w:lineRule="auto"/>
        <w:ind w:left="250"/>
        <w:jc w:val="both"/>
      </w:pPr>
      <w:r w:rsidRPr="002F4596">
        <w:rPr>
          <w:b/>
        </w:rPr>
        <w:t xml:space="preserve">Bu nedenle tedavi sırasında nöropsikiyatrik semptomlar ortaya çıkarsa </w:t>
      </w:r>
      <w:proofErr w:type="spellStart"/>
      <w:r w:rsidRPr="002F4596">
        <w:rPr>
          <w:b/>
        </w:rPr>
        <w:t>montelukast</w:t>
      </w:r>
      <w:proofErr w:type="spellEnd"/>
      <w:r w:rsidRPr="002F4596">
        <w:rPr>
          <w:b/>
        </w:rPr>
        <w:t xml:space="preserve"> ile tedavi kesilmelidir. </w:t>
      </w:r>
    </w:p>
    <w:p w14:paraId="69CBAD67" w14:textId="77777777" w:rsidR="00841FEF" w:rsidRPr="002F4596" w:rsidRDefault="00841FEF" w:rsidP="00EE11A7">
      <w:pPr>
        <w:pBdr>
          <w:top w:val="single" w:sz="4" w:space="0" w:color="000000"/>
          <w:left w:val="single" w:sz="4" w:space="0" w:color="000000"/>
          <w:bottom w:val="single" w:sz="4" w:space="0" w:color="000000"/>
          <w:right w:val="single" w:sz="4" w:space="0" w:color="000000"/>
        </w:pBdr>
        <w:spacing w:line="271" w:lineRule="auto"/>
        <w:ind w:left="250"/>
        <w:jc w:val="both"/>
      </w:pPr>
      <w:r w:rsidRPr="002F4596">
        <w:rPr>
          <w:b/>
        </w:rPr>
        <w:t xml:space="preserve">Hastalara ve/veya bakıcılara nöropsikiyatrik olaylara karşı dikkatli olmalarını tavsiye ediniz ve hastaların davranışlarında bu değişiklikler meydana gelirse doktorlarını bilgilendirmelerini söyleyiniz. </w:t>
      </w:r>
    </w:p>
    <w:p w14:paraId="76E4B43A" w14:textId="77777777" w:rsidR="00841FEF" w:rsidRPr="002F4596" w:rsidRDefault="00841FEF" w:rsidP="007B7CCA">
      <w:pPr>
        <w:pStyle w:val="GvdeMetni"/>
        <w:jc w:val="both"/>
      </w:pPr>
    </w:p>
    <w:p w14:paraId="20855595" w14:textId="77777777" w:rsidR="0099203A" w:rsidRPr="002F4596" w:rsidRDefault="0099203A" w:rsidP="00F32CA1">
      <w:pPr>
        <w:pStyle w:val="GvdeMetni"/>
        <w:ind w:left="0"/>
        <w:jc w:val="both"/>
      </w:pPr>
    </w:p>
    <w:p w14:paraId="7491A15D" w14:textId="77777777" w:rsidR="00841FEF" w:rsidRPr="002F4596" w:rsidRDefault="0099203A" w:rsidP="007B7CCA">
      <w:pPr>
        <w:pStyle w:val="GvdeMetni"/>
        <w:jc w:val="both"/>
      </w:pPr>
      <w:r w:rsidRPr="002F4596">
        <w:t>Eozinofilik durumlar</w:t>
      </w:r>
    </w:p>
    <w:p w14:paraId="3E867CE1" w14:textId="00B8CB87" w:rsidR="00063B01" w:rsidRPr="002F4596" w:rsidRDefault="00063B01" w:rsidP="00063B01">
      <w:pPr>
        <w:pStyle w:val="GvdeMetni"/>
        <w:jc w:val="both"/>
      </w:pPr>
      <w:r w:rsidRPr="002F4596">
        <w:t>Nadir durumlarda,</w:t>
      </w:r>
      <w:r w:rsidR="007B298A" w:rsidRPr="002F4596">
        <w:t xml:space="preserve"> </w:t>
      </w:r>
      <w:proofErr w:type="spellStart"/>
      <w:r w:rsidRPr="002F4596">
        <w:t>montelukast</w:t>
      </w:r>
      <w:proofErr w:type="spellEnd"/>
      <w:r w:rsidRPr="002F4596">
        <w:t xml:space="preserve"> </w:t>
      </w:r>
      <w:r w:rsidR="00581582" w:rsidRPr="002F4596">
        <w:t>dahil</w:t>
      </w:r>
      <w:r w:rsidRPr="002F4596">
        <w:t xml:space="preserve"> </w:t>
      </w:r>
      <w:proofErr w:type="spellStart"/>
      <w:r w:rsidRPr="002F4596">
        <w:t>antiastım</w:t>
      </w:r>
      <w:proofErr w:type="spellEnd"/>
      <w:r w:rsidRPr="002F4596">
        <w:t xml:space="preserve"> ajanlarıyla tedavi edilen hastalar sistemik eozinofili tablosuyla başvurabilirler; bu tabloya, genellikle sistemik kortikosteroid ilaçlar ile tedavi edilen ve </w:t>
      </w:r>
      <w:proofErr w:type="spellStart"/>
      <w:r w:rsidRPr="002F4596">
        <w:t>Churg</w:t>
      </w:r>
      <w:proofErr w:type="spellEnd"/>
      <w:r w:rsidRPr="002F4596">
        <w:t xml:space="preserve">-Strauss sendromu adı verilen bir bozuklukla uyumlu </w:t>
      </w:r>
      <w:proofErr w:type="spellStart"/>
      <w:r w:rsidRPr="002F4596">
        <w:t>vaskülitin</w:t>
      </w:r>
      <w:proofErr w:type="spellEnd"/>
      <w:r w:rsidRPr="002F4596">
        <w:t xml:space="preserve"> klinik özellikleri zaman zaman eşlik edebilir. Bu olaylar her zaman olmamakla birlikte genellikle oral kortikosteroid tedavisinin azaltımı ya da kesilmesi ile ilişkilendirilmiştir. </w:t>
      </w:r>
      <w:proofErr w:type="spellStart"/>
      <w:r w:rsidRPr="002F4596">
        <w:t>Lökotrien</w:t>
      </w:r>
      <w:proofErr w:type="spellEnd"/>
      <w:r w:rsidRPr="002F4596">
        <w:t xml:space="preserve"> reseptör antagonistlerinin </w:t>
      </w:r>
      <w:proofErr w:type="spellStart"/>
      <w:r w:rsidRPr="002F4596">
        <w:t>Churg</w:t>
      </w:r>
      <w:proofErr w:type="spellEnd"/>
      <w:r w:rsidRPr="002F4596">
        <w:t xml:space="preserve">-Strauss sendromunun ortaya çıkışıyla ilişkili olma olasılığı dışlanamamakta veya ispatlanamamaktadır. Hekimler hastalarındaki eozinofili, </w:t>
      </w:r>
      <w:proofErr w:type="spellStart"/>
      <w:r w:rsidRPr="002F4596">
        <w:t>vaskülitik</w:t>
      </w:r>
      <w:proofErr w:type="spellEnd"/>
      <w:r w:rsidRPr="002F4596">
        <w:t xml:space="preserve"> döküntü, kötüleşen akciğer semptomları, kardiyak komplikasyonlar ve/veya nöropatiye karşı dikkatli olmalıdır. Bu semptomların geliştiği hastalar tekrar değerlendirilmeli ve aldıkları tedavi rejimleri gözden geçirilmelidir.  </w:t>
      </w:r>
      <w:proofErr w:type="spellStart"/>
      <w:r w:rsidR="007B298A" w:rsidRPr="002F4596">
        <w:t>M</w:t>
      </w:r>
      <w:r w:rsidRPr="002F4596">
        <w:t>ontelukast</w:t>
      </w:r>
      <w:proofErr w:type="spellEnd"/>
      <w:r w:rsidRPr="002F4596">
        <w:t xml:space="preserve"> tedavisi, aspirine duyarlı hastaların aspirin ve diğer </w:t>
      </w:r>
      <w:proofErr w:type="spellStart"/>
      <w:r w:rsidRPr="002F4596">
        <w:t>non</w:t>
      </w:r>
      <w:proofErr w:type="spellEnd"/>
      <w:r w:rsidRPr="002F4596">
        <w:t xml:space="preserve">-steroid </w:t>
      </w:r>
      <w:proofErr w:type="spellStart"/>
      <w:r w:rsidRPr="002F4596">
        <w:t>antiinflamatuvar</w:t>
      </w:r>
      <w:proofErr w:type="spellEnd"/>
      <w:r w:rsidRPr="002F4596">
        <w:t xml:space="preserve"> ilaçları almaktan kaçınma gerekliliğini değiştirmez.</w:t>
      </w:r>
    </w:p>
    <w:p w14:paraId="0FB3F8D3" w14:textId="77777777" w:rsidR="0099203A" w:rsidRPr="002F4596" w:rsidRDefault="0099203A" w:rsidP="007B7CCA">
      <w:pPr>
        <w:pStyle w:val="GvdeMetni"/>
        <w:jc w:val="both"/>
      </w:pPr>
    </w:p>
    <w:p w14:paraId="065D7A9E" w14:textId="6C130773" w:rsidR="0099203A" w:rsidRPr="002F4596" w:rsidRDefault="0099203A" w:rsidP="007B7CCA">
      <w:pPr>
        <w:pStyle w:val="GvdeMetni"/>
        <w:jc w:val="both"/>
      </w:pPr>
      <w:r w:rsidRPr="002F4596">
        <w:t>MONDES, şiddetli böbrek yetersizliğinde dikkatle kullanılmalıdır.</w:t>
      </w:r>
    </w:p>
    <w:p w14:paraId="1A4334C4" w14:textId="77777777" w:rsidR="008068DA" w:rsidRPr="002F4596" w:rsidRDefault="008068DA" w:rsidP="007B7CCA">
      <w:pPr>
        <w:pStyle w:val="GvdeMetni"/>
        <w:jc w:val="both"/>
      </w:pPr>
    </w:p>
    <w:p w14:paraId="4B35A935" w14:textId="405D96C5" w:rsidR="0099203A" w:rsidRPr="002F4596" w:rsidRDefault="008068DA" w:rsidP="008068DA">
      <w:pPr>
        <w:pStyle w:val="Default"/>
        <w:ind w:left="249"/>
        <w:jc w:val="both"/>
        <w:rPr>
          <w:color w:val="auto"/>
        </w:rPr>
      </w:pPr>
      <w:r w:rsidRPr="002F4596">
        <w:rPr>
          <w:color w:val="auto"/>
        </w:rPr>
        <w:t xml:space="preserve">Nadir kalıtımsal galaktoz intoleransı, </w:t>
      </w:r>
      <w:proofErr w:type="spellStart"/>
      <w:r w:rsidRPr="002F4596">
        <w:rPr>
          <w:color w:val="auto"/>
        </w:rPr>
        <w:t>Lapp</w:t>
      </w:r>
      <w:proofErr w:type="spellEnd"/>
      <w:r w:rsidRPr="002F4596">
        <w:rPr>
          <w:color w:val="auto"/>
        </w:rPr>
        <w:t xml:space="preserve"> laktaz yetmezliği ya da glukoz-galaktoz </w:t>
      </w:r>
      <w:proofErr w:type="spellStart"/>
      <w:r w:rsidRPr="002F4596">
        <w:rPr>
          <w:color w:val="auto"/>
        </w:rPr>
        <w:t>malabsorpsiyon</w:t>
      </w:r>
      <w:proofErr w:type="spellEnd"/>
      <w:r w:rsidRPr="002F4596">
        <w:rPr>
          <w:color w:val="auto"/>
        </w:rPr>
        <w:t xml:space="preserve"> problemi olan hastaların bu ilacı kullanmamaları gerekir.</w:t>
      </w:r>
    </w:p>
    <w:p w14:paraId="3B78070E" w14:textId="77777777" w:rsidR="00164138" w:rsidRDefault="00AA5C75" w:rsidP="00AA5C75">
      <w:pPr>
        <w:pStyle w:val="GvdeMetni"/>
        <w:jc w:val="both"/>
        <w:rPr>
          <w:color w:val="000000" w:themeColor="text1"/>
        </w:rPr>
      </w:pPr>
      <w:r w:rsidRPr="002F4596">
        <w:t>Bu tıbbi ürün her “</w:t>
      </w:r>
      <w:proofErr w:type="spellStart"/>
      <w:r w:rsidRPr="002F4596">
        <w:t>doz”unda</w:t>
      </w:r>
      <w:proofErr w:type="spellEnd"/>
      <w:r w:rsidRPr="002F4596">
        <w:t xml:space="preserve"> 6,20 mg</w:t>
      </w:r>
      <w:r w:rsidR="00765FA6" w:rsidRPr="002F4596">
        <w:t xml:space="preserve"> </w:t>
      </w:r>
      <w:proofErr w:type="spellStart"/>
      <w:r w:rsidR="00765FA6" w:rsidRPr="002F4596">
        <w:t>kroskarmelloz</w:t>
      </w:r>
      <w:proofErr w:type="spellEnd"/>
      <w:r w:rsidRPr="002F4596">
        <w:t xml:space="preserve"> sodyum ihtiva </w:t>
      </w:r>
      <w:r w:rsidRPr="00164138">
        <w:rPr>
          <w:color w:val="000000" w:themeColor="text1"/>
        </w:rPr>
        <w:t>eder.</w:t>
      </w:r>
    </w:p>
    <w:p w14:paraId="610B9CE6" w14:textId="06B36D12" w:rsidR="00AA5C75" w:rsidRPr="00164138" w:rsidRDefault="00164138" w:rsidP="00AA5C75">
      <w:pPr>
        <w:pStyle w:val="GvdeMetni"/>
        <w:jc w:val="both"/>
        <w:rPr>
          <w:color w:val="000000" w:themeColor="text1"/>
        </w:rPr>
      </w:pPr>
      <w:r w:rsidRPr="00164138">
        <w:rPr>
          <w:color w:val="000000" w:themeColor="text1"/>
        </w:rPr>
        <w:t>Bu tıbbi ürün her dozunda 1 mmol (23 mg)'den az sodyum ihtiva eder, bu dozda sodyuma bağlı herhangi bir yan etki beklenmemektedir.</w:t>
      </w:r>
    </w:p>
    <w:p w14:paraId="22261979" w14:textId="77777777" w:rsidR="00063B01" w:rsidRPr="002F4596" w:rsidRDefault="00063B01" w:rsidP="00063B01">
      <w:pPr>
        <w:pStyle w:val="GvdeMetni"/>
        <w:ind w:left="0"/>
        <w:jc w:val="both"/>
      </w:pPr>
    </w:p>
    <w:p w14:paraId="2AABFB85" w14:textId="0EFD31F3" w:rsidR="00063B01" w:rsidRPr="002F4596" w:rsidRDefault="00063B01" w:rsidP="00063B01">
      <w:pPr>
        <w:pStyle w:val="GvdeMetni"/>
        <w:jc w:val="both"/>
      </w:pPr>
      <w:r w:rsidRPr="002F4596">
        <w:t>Bu tıbbi ürün gün batımı sarısı içerir. Alerjik reaksiyonlara sebep olabilir.</w:t>
      </w:r>
    </w:p>
    <w:p w14:paraId="1494EDEC" w14:textId="77777777" w:rsidR="0073096E" w:rsidRPr="002F4596" w:rsidRDefault="0073096E" w:rsidP="008068DA">
      <w:pPr>
        <w:pStyle w:val="Default"/>
        <w:ind w:left="249"/>
        <w:jc w:val="both"/>
        <w:rPr>
          <w:color w:val="auto"/>
        </w:rPr>
      </w:pPr>
    </w:p>
    <w:p w14:paraId="64A93DBA" w14:textId="77777777" w:rsidR="00CB2508" w:rsidRPr="002F4596" w:rsidRDefault="00A12CE4" w:rsidP="007B7CCA">
      <w:pPr>
        <w:pStyle w:val="Balk1"/>
        <w:numPr>
          <w:ilvl w:val="1"/>
          <w:numId w:val="1"/>
        </w:numPr>
        <w:tabs>
          <w:tab w:val="left" w:pos="671"/>
        </w:tabs>
        <w:spacing w:line="240" w:lineRule="auto"/>
        <w:ind w:left="670" w:hanging="421"/>
        <w:jc w:val="both"/>
      </w:pPr>
      <w:r w:rsidRPr="002F4596">
        <w:t>Diğer tıbbi ürünler ile etkileşimler ve diğer etkileşim</w:t>
      </w:r>
      <w:r w:rsidRPr="002F4596">
        <w:rPr>
          <w:spacing w:val="-13"/>
        </w:rPr>
        <w:t xml:space="preserve"> </w:t>
      </w:r>
      <w:r w:rsidRPr="002F4596">
        <w:t>şekilleri</w:t>
      </w:r>
    </w:p>
    <w:p w14:paraId="4BB202DA" w14:textId="77777777" w:rsidR="00CB2508" w:rsidRPr="002F4596" w:rsidRDefault="00CB2508" w:rsidP="007B7CCA">
      <w:pPr>
        <w:pStyle w:val="GvdeMetni"/>
        <w:spacing w:before="6"/>
        <w:ind w:left="0"/>
        <w:jc w:val="both"/>
        <w:rPr>
          <w:b/>
        </w:rPr>
      </w:pPr>
    </w:p>
    <w:p w14:paraId="07244FD2" w14:textId="77777777" w:rsidR="00CB2508" w:rsidRPr="002F4596" w:rsidRDefault="00A12CE4" w:rsidP="007B7CCA">
      <w:pPr>
        <w:spacing w:before="1"/>
        <w:ind w:left="250"/>
        <w:jc w:val="both"/>
        <w:rPr>
          <w:i/>
          <w:sz w:val="24"/>
          <w:szCs w:val="24"/>
        </w:rPr>
      </w:pPr>
      <w:proofErr w:type="spellStart"/>
      <w:r w:rsidRPr="002F4596">
        <w:rPr>
          <w:i/>
          <w:sz w:val="24"/>
          <w:szCs w:val="24"/>
        </w:rPr>
        <w:t>Desloratadin</w:t>
      </w:r>
      <w:proofErr w:type="spellEnd"/>
      <w:r w:rsidRPr="002F4596">
        <w:rPr>
          <w:i/>
          <w:sz w:val="24"/>
          <w:szCs w:val="24"/>
        </w:rPr>
        <w:t xml:space="preserve"> ile bağlantılı etkileşimler</w:t>
      </w:r>
    </w:p>
    <w:p w14:paraId="0E52AC33" w14:textId="77777777" w:rsidR="0099203A" w:rsidRPr="002F4596" w:rsidRDefault="0099203A" w:rsidP="007B7CCA">
      <w:pPr>
        <w:pStyle w:val="GvdeMetni"/>
        <w:ind w:right="103"/>
        <w:jc w:val="both"/>
      </w:pPr>
      <w:proofErr w:type="spellStart"/>
      <w:r w:rsidRPr="002F4596">
        <w:t>Eritromisin</w:t>
      </w:r>
      <w:proofErr w:type="spellEnd"/>
      <w:r w:rsidRPr="002F4596">
        <w:t xml:space="preserve"> ya da ketokonazolün birlikte kullanıldığı, </w:t>
      </w:r>
      <w:proofErr w:type="spellStart"/>
      <w:r w:rsidRPr="002F4596">
        <w:t>desloratadin</w:t>
      </w:r>
      <w:proofErr w:type="spellEnd"/>
      <w:r w:rsidRPr="002F4596">
        <w:t xml:space="preserve"> tabletleriyle yapılmış klinik çalışmalarda klinik bir etkileşim gözlemlenmemiştir (bkz. Bölüm 5.1). </w:t>
      </w:r>
    </w:p>
    <w:p w14:paraId="14A4D6B4" w14:textId="77777777" w:rsidR="0099203A" w:rsidRPr="002F4596" w:rsidRDefault="0099203A" w:rsidP="007B7CCA">
      <w:pPr>
        <w:pStyle w:val="GvdeMetni"/>
        <w:ind w:right="103"/>
        <w:jc w:val="both"/>
      </w:pPr>
    </w:p>
    <w:p w14:paraId="36B5E582" w14:textId="2271DE3E" w:rsidR="00063B01" w:rsidRPr="002F4596" w:rsidRDefault="00063B01" w:rsidP="00063B01">
      <w:pPr>
        <w:pStyle w:val="GvdeMetni"/>
        <w:ind w:right="103"/>
        <w:jc w:val="both"/>
      </w:pPr>
      <w:proofErr w:type="spellStart"/>
      <w:r w:rsidRPr="002F4596">
        <w:t>Desloratadinin</w:t>
      </w:r>
      <w:proofErr w:type="spellEnd"/>
      <w:r w:rsidRPr="002F4596">
        <w:t xml:space="preserve"> alkolle bir arada alındığı bir klinik farmakoloji çalışmasında, </w:t>
      </w:r>
      <w:proofErr w:type="spellStart"/>
      <w:r w:rsidRPr="002F4596">
        <w:t>desloratadin</w:t>
      </w:r>
      <w:proofErr w:type="spellEnd"/>
      <w:r w:rsidRPr="002F4596">
        <w:t xml:space="preserve"> alkolün performansı zayıflatıcı etkisini </w:t>
      </w:r>
      <w:proofErr w:type="gramStart"/>
      <w:r w:rsidRPr="002F4596">
        <w:t>artırmamıştır(</w:t>
      </w:r>
      <w:proofErr w:type="gramEnd"/>
      <w:r w:rsidRPr="002F4596">
        <w:t>bkz. Bölüm 5.1).</w:t>
      </w:r>
      <w:r w:rsidR="00581582" w:rsidRPr="002F4596">
        <w:t xml:space="preserve"> </w:t>
      </w:r>
      <w:r w:rsidRPr="002F4596">
        <w:t xml:space="preserve">Bununla birlikte, </w:t>
      </w:r>
      <w:r w:rsidRPr="002F4596">
        <w:lastRenderedPageBreak/>
        <w:t>pazarlama sonrası kullanım sırasında alkol intoleransı ve zehirlenme vakaları bildirilmiştir. Bu nedenle, alkolle bir arada alındığında dikkatli olunmalıdır.</w:t>
      </w:r>
    </w:p>
    <w:p w14:paraId="6F69A2B8" w14:textId="77777777" w:rsidR="00CB2508" w:rsidRPr="002F4596" w:rsidRDefault="00CB2508" w:rsidP="007B7CCA">
      <w:pPr>
        <w:pStyle w:val="GvdeMetni"/>
        <w:ind w:left="0"/>
        <w:jc w:val="both"/>
      </w:pPr>
    </w:p>
    <w:p w14:paraId="42946EEB" w14:textId="77777777" w:rsidR="00CB2508" w:rsidRPr="002F4596" w:rsidRDefault="00A12CE4" w:rsidP="007B7CCA">
      <w:pPr>
        <w:ind w:left="250"/>
        <w:jc w:val="both"/>
        <w:rPr>
          <w:i/>
          <w:sz w:val="24"/>
          <w:szCs w:val="24"/>
        </w:rPr>
      </w:pPr>
      <w:proofErr w:type="spellStart"/>
      <w:r w:rsidRPr="002F4596">
        <w:rPr>
          <w:i/>
          <w:sz w:val="24"/>
          <w:szCs w:val="24"/>
        </w:rPr>
        <w:t>Montelukast</w:t>
      </w:r>
      <w:proofErr w:type="spellEnd"/>
      <w:r w:rsidRPr="002F4596">
        <w:rPr>
          <w:i/>
          <w:sz w:val="24"/>
          <w:szCs w:val="24"/>
        </w:rPr>
        <w:t xml:space="preserve"> ile bağlantılı etkileşimler</w:t>
      </w:r>
    </w:p>
    <w:p w14:paraId="1B6CE4B0" w14:textId="7630868C" w:rsidR="00063B01" w:rsidRPr="002F4596" w:rsidRDefault="00063B01" w:rsidP="00063B01">
      <w:pPr>
        <w:pStyle w:val="GvdeMetni"/>
        <w:ind w:right="104"/>
        <w:jc w:val="both"/>
      </w:pPr>
      <w:proofErr w:type="spellStart"/>
      <w:r w:rsidRPr="002F4596">
        <w:t>Montelukast</w:t>
      </w:r>
      <w:proofErr w:type="spellEnd"/>
      <w:r w:rsidRPr="002F4596">
        <w:t xml:space="preserve"> astımın profilaksisinde ve astımın kronik tedavisinde rutin olarak kullanılan diğer tedaviler ile birlikte uygulanmıştır. İlaç etkileşim çalışmalarında </w:t>
      </w:r>
      <w:proofErr w:type="spellStart"/>
      <w:r w:rsidRPr="002F4596">
        <w:t>montelukastın</w:t>
      </w:r>
      <w:proofErr w:type="spellEnd"/>
      <w:r w:rsidRPr="002F4596">
        <w:t xml:space="preserve"> önerilen klinik dozunun aşağıdaki ilaçların farmakokinetiği üzerinde klinik yönden önemli etkilere yol açmamıştır: Teofilin, prednizon, prednizolon, oral kontraseptifler (</w:t>
      </w:r>
      <w:proofErr w:type="spellStart"/>
      <w:proofErr w:type="gramStart"/>
      <w:r w:rsidRPr="002F4596">
        <w:t>etinil</w:t>
      </w:r>
      <w:proofErr w:type="spellEnd"/>
      <w:r w:rsidRPr="002F4596">
        <w:t xml:space="preserve"> </w:t>
      </w:r>
      <w:r w:rsidR="007B298A" w:rsidRPr="002F4596">
        <w:rPr>
          <w:strike/>
        </w:rPr>
        <w:t xml:space="preserve"> </w:t>
      </w:r>
      <w:proofErr w:type="spellStart"/>
      <w:r w:rsidRPr="002F4596">
        <w:t>estradiol</w:t>
      </w:r>
      <w:proofErr w:type="spellEnd"/>
      <w:proofErr w:type="gramEnd"/>
      <w:r w:rsidRPr="002F4596">
        <w:t>/</w:t>
      </w:r>
      <w:proofErr w:type="spellStart"/>
      <w:r w:rsidRPr="002F4596">
        <w:t>noretindron</w:t>
      </w:r>
      <w:proofErr w:type="spellEnd"/>
      <w:r w:rsidRPr="002F4596">
        <w:t xml:space="preserve"> 35/1), </w:t>
      </w:r>
      <w:proofErr w:type="spellStart"/>
      <w:r w:rsidRPr="002F4596">
        <w:t>terfenadin</w:t>
      </w:r>
      <w:proofErr w:type="spellEnd"/>
      <w:r w:rsidRPr="002F4596">
        <w:t xml:space="preserve">, digoksin ve </w:t>
      </w:r>
      <w:proofErr w:type="spellStart"/>
      <w:r w:rsidRPr="002F4596">
        <w:t>varfarin</w:t>
      </w:r>
      <w:proofErr w:type="spellEnd"/>
      <w:r w:rsidRPr="002F4596">
        <w:t>.</w:t>
      </w:r>
    </w:p>
    <w:p w14:paraId="012E3248" w14:textId="50E4858C" w:rsidR="00A12CE4" w:rsidRPr="002F4596" w:rsidRDefault="00A12CE4" w:rsidP="007B7CCA">
      <w:pPr>
        <w:pStyle w:val="GvdeMetni"/>
        <w:ind w:left="0" w:right="150"/>
        <w:jc w:val="both"/>
        <w:rPr>
          <w:strike/>
        </w:rPr>
      </w:pPr>
    </w:p>
    <w:p w14:paraId="644BB677" w14:textId="77777777" w:rsidR="00A12CE4" w:rsidRPr="002F4596" w:rsidRDefault="00A12CE4" w:rsidP="007B7CCA">
      <w:pPr>
        <w:pStyle w:val="GvdeMetni"/>
        <w:ind w:right="150"/>
        <w:jc w:val="both"/>
      </w:pPr>
      <w:proofErr w:type="spellStart"/>
      <w:r w:rsidRPr="002F4596">
        <w:t>Montelukast</w:t>
      </w:r>
      <w:proofErr w:type="spellEnd"/>
      <w:r w:rsidRPr="002F4596">
        <w:t xml:space="preserve"> plazma konsantrasyon eğrisi altında kalan alanı (EAA) eş zamanlı olarak </w:t>
      </w:r>
      <w:proofErr w:type="spellStart"/>
      <w:r w:rsidRPr="002F4596">
        <w:t>fenobarbital</w:t>
      </w:r>
      <w:proofErr w:type="spellEnd"/>
      <w:r w:rsidRPr="002F4596">
        <w:t xml:space="preserve"> uygulanan hastalarda yaklaşık %40 azalmıştır. </w:t>
      </w:r>
      <w:proofErr w:type="spellStart"/>
      <w:r w:rsidRPr="002F4596">
        <w:t>Montelukast</w:t>
      </w:r>
      <w:proofErr w:type="spellEnd"/>
      <w:r w:rsidRPr="002F4596">
        <w:t xml:space="preserve"> CYP 3A4, 2C8 ve 2C9 ile metabolize edildiğinden, özellikle çocuklara fenitoin, </w:t>
      </w:r>
      <w:proofErr w:type="spellStart"/>
      <w:r w:rsidRPr="002F4596">
        <w:t>fenobarbital</w:t>
      </w:r>
      <w:proofErr w:type="spellEnd"/>
      <w:r w:rsidRPr="002F4596">
        <w:t xml:space="preserve"> ve </w:t>
      </w:r>
      <w:proofErr w:type="spellStart"/>
      <w:r w:rsidRPr="002F4596">
        <w:t>rifampisin</w:t>
      </w:r>
      <w:proofErr w:type="spellEnd"/>
      <w:r w:rsidRPr="002F4596">
        <w:t xml:space="preserve"> gibi CYP 3A4, 2C8 ve 2C9 indükleyicileriyle birlikte </w:t>
      </w:r>
      <w:proofErr w:type="spellStart"/>
      <w:r w:rsidRPr="002F4596">
        <w:t>montelukast</w:t>
      </w:r>
      <w:proofErr w:type="spellEnd"/>
      <w:r w:rsidRPr="002F4596">
        <w:t xml:space="preserve"> uygulanırken dikkatli olunmalıdır.</w:t>
      </w:r>
    </w:p>
    <w:p w14:paraId="47A3E9EB" w14:textId="77777777" w:rsidR="00A12CE4" w:rsidRPr="002F4596" w:rsidRDefault="00A12CE4" w:rsidP="007B7CCA">
      <w:pPr>
        <w:pStyle w:val="GvdeMetni"/>
        <w:ind w:right="150"/>
        <w:jc w:val="both"/>
      </w:pPr>
    </w:p>
    <w:p w14:paraId="7651B6E2" w14:textId="0A0A3601" w:rsidR="00A12CE4" w:rsidRPr="002F4596" w:rsidRDefault="00A12CE4" w:rsidP="007B7CCA">
      <w:pPr>
        <w:pStyle w:val="GvdeMetni"/>
        <w:ind w:right="150"/>
        <w:jc w:val="both"/>
      </w:pPr>
      <w:r w:rsidRPr="002F4596">
        <w:t xml:space="preserve">İn vitro çalışmalar </w:t>
      </w:r>
      <w:proofErr w:type="spellStart"/>
      <w:r w:rsidRPr="002F4596">
        <w:t>montelukastın</w:t>
      </w:r>
      <w:proofErr w:type="spellEnd"/>
      <w:r w:rsidRPr="002F4596">
        <w:t xml:space="preserve"> CYP 2C8’in güçlü bir inhibitörü olduğunu göstermiştir. Ancak </w:t>
      </w:r>
      <w:proofErr w:type="spellStart"/>
      <w:r w:rsidRPr="002F4596">
        <w:t>montelukast</w:t>
      </w:r>
      <w:proofErr w:type="spellEnd"/>
      <w:r w:rsidRPr="002F4596">
        <w:t xml:space="preserve"> ve </w:t>
      </w:r>
      <w:proofErr w:type="spellStart"/>
      <w:r w:rsidRPr="002F4596">
        <w:t>rosiglitazonu</w:t>
      </w:r>
      <w:proofErr w:type="spellEnd"/>
      <w:r w:rsidRPr="002F4596">
        <w:t xml:space="preserve"> (esas olarak CYP 2C8 ile metabolize edilen tıbbi ürünleri temsil eden bir araştırma substratı) içeren bir klinik ilaç etkileşim çalışmasının verileri </w:t>
      </w:r>
      <w:proofErr w:type="spellStart"/>
      <w:r w:rsidRPr="002F4596">
        <w:t>montelukastın</w:t>
      </w:r>
      <w:proofErr w:type="spellEnd"/>
      <w:r w:rsidRPr="002F4596">
        <w:t xml:space="preserve"> CYP 2C8’i in </w:t>
      </w:r>
      <w:proofErr w:type="spellStart"/>
      <w:r w:rsidRPr="002F4596">
        <w:t>vivo</w:t>
      </w:r>
      <w:proofErr w:type="spellEnd"/>
      <w:r w:rsidRPr="002F4596">
        <w:t xml:space="preserve"> koşullarda inhibe etmediğini göstermiştir. Bu nedenle, </w:t>
      </w:r>
      <w:proofErr w:type="spellStart"/>
      <w:r w:rsidRPr="002F4596">
        <w:t>montelukastın</w:t>
      </w:r>
      <w:proofErr w:type="spellEnd"/>
      <w:r w:rsidRPr="002F4596">
        <w:t xml:space="preserve"> bu enzim tarafından metabolize edilen tıbbi ürünlerin (</w:t>
      </w:r>
      <w:proofErr w:type="spellStart"/>
      <w:r w:rsidRPr="002F4596">
        <w:t>örn</w:t>
      </w:r>
      <w:proofErr w:type="spellEnd"/>
      <w:r w:rsidRPr="002F4596">
        <w:t xml:space="preserve">., </w:t>
      </w:r>
      <w:proofErr w:type="spellStart"/>
      <w:r w:rsidRPr="002F4596">
        <w:t>paklitaksel</w:t>
      </w:r>
      <w:proofErr w:type="spellEnd"/>
      <w:r w:rsidRPr="002F4596">
        <w:t xml:space="preserve">, </w:t>
      </w:r>
      <w:proofErr w:type="spellStart"/>
      <w:r w:rsidRPr="002F4596">
        <w:t>rosiglitazon</w:t>
      </w:r>
      <w:proofErr w:type="spellEnd"/>
      <w:r w:rsidRPr="002F4596">
        <w:t xml:space="preserve"> ve </w:t>
      </w:r>
      <w:proofErr w:type="spellStart"/>
      <w:r w:rsidRPr="002F4596">
        <w:t>repaglinid</w:t>
      </w:r>
      <w:proofErr w:type="spellEnd"/>
      <w:r w:rsidRPr="002F4596">
        <w:t>) metabolizmasını kayda değer biçimde değiştirmesi beklenmez.</w:t>
      </w:r>
    </w:p>
    <w:p w14:paraId="1BDE4069" w14:textId="77777777" w:rsidR="00581582" w:rsidRPr="002F4596" w:rsidRDefault="00581582" w:rsidP="007B298A">
      <w:pPr>
        <w:pStyle w:val="GvdeMetni"/>
        <w:ind w:left="0" w:right="150"/>
        <w:jc w:val="both"/>
        <w:rPr>
          <w:strike/>
        </w:rPr>
      </w:pPr>
    </w:p>
    <w:p w14:paraId="66623321" w14:textId="77777777" w:rsidR="00063B01" w:rsidRPr="002F4596" w:rsidRDefault="00063B01" w:rsidP="00063B01">
      <w:pPr>
        <w:pStyle w:val="GvdeMetni"/>
        <w:ind w:right="150"/>
        <w:jc w:val="both"/>
      </w:pPr>
      <w:r w:rsidRPr="002F4596">
        <w:t xml:space="preserve">İn vitro çalışmalar </w:t>
      </w:r>
      <w:proofErr w:type="spellStart"/>
      <w:r w:rsidRPr="002F4596">
        <w:t>montelukastın</w:t>
      </w:r>
      <w:proofErr w:type="spellEnd"/>
      <w:r w:rsidRPr="002F4596">
        <w:t xml:space="preserve"> CYP 2C8’in ve daha az ölçüde de 2C9 ve 3A4’ün bir substratı olduğunu göstermiştir. </w:t>
      </w:r>
      <w:proofErr w:type="spellStart"/>
      <w:r w:rsidRPr="002F4596">
        <w:t>Montelukast</w:t>
      </w:r>
      <w:proofErr w:type="spellEnd"/>
      <w:r w:rsidRPr="002F4596">
        <w:t xml:space="preserve"> ve </w:t>
      </w:r>
      <w:proofErr w:type="spellStart"/>
      <w:r w:rsidRPr="002F4596">
        <w:t>gemfibrozili</w:t>
      </w:r>
      <w:proofErr w:type="spellEnd"/>
      <w:r w:rsidRPr="002F4596">
        <w:t xml:space="preserve"> (hem CYP 2C8 hem de 2C9’un bir inhibitörü) içeren bir klinik ilaç etkileşim çalışmasının verileri </w:t>
      </w:r>
      <w:proofErr w:type="spellStart"/>
      <w:r w:rsidRPr="002F4596">
        <w:t>gemfibrozilin</w:t>
      </w:r>
      <w:proofErr w:type="spellEnd"/>
      <w:r w:rsidRPr="002F4596">
        <w:t xml:space="preserve"> </w:t>
      </w:r>
      <w:proofErr w:type="spellStart"/>
      <w:r w:rsidRPr="002F4596">
        <w:t>montelukastın</w:t>
      </w:r>
      <w:proofErr w:type="spellEnd"/>
      <w:r w:rsidRPr="002F4596">
        <w:t xml:space="preserve"> sistemik </w:t>
      </w:r>
      <w:proofErr w:type="spellStart"/>
      <w:r w:rsidRPr="002F4596">
        <w:t>maruzkalımını</w:t>
      </w:r>
      <w:proofErr w:type="spellEnd"/>
      <w:r w:rsidRPr="002F4596">
        <w:t xml:space="preserve"> 4,4 kar artırdığını göstermiştir. </w:t>
      </w:r>
      <w:proofErr w:type="spellStart"/>
      <w:r w:rsidRPr="002F4596">
        <w:t>Gemfibrozil</w:t>
      </w:r>
      <w:proofErr w:type="spellEnd"/>
      <w:r w:rsidRPr="002F4596">
        <w:t xml:space="preserve"> veya diğer güçlü CYP 2C8 inhibitörleri ile birlikte uygulandığında </w:t>
      </w:r>
      <w:proofErr w:type="spellStart"/>
      <w:r w:rsidRPr="002F4596">
        <w:t>montelukast</w:t>
      </w:r>
      <w:proofErr w:type="spellEnd"/>
      <w:r w:rsidRPr="002F4596">
        <w:t xml:space="preserve"> dozunda rutin bir ayarlama yapılması gerekmez, ancak hekim advers reaksiyonlarda artış potansiyelinin farkında olmalıdır.</w:t>
      </w:r>
    </w:p>
    <w:p w14:paraId="60506AE1" w14:textId="77777777" w:rsidR="00063B01" w:rsidRPr="002F4596" w:rsidRDefault="00063B01" w:rsidP="00063B01">
      <w:pPr>
        <w:pStyle w:val="GvdeMetni"/>
        <w:ind w:right="150"/>
        <w:jc w:val="both"/>
      </w:pPr>
    </w:p>
    <w:p w14:paraId="0821172D" w14:textId="77777777" w:rsidR="00063B01" w:rsidRPr="002F4596" w:rsidRDefault="00063B01" w:rsidP="00063B01">
      <w:pPr>
        <w:pStyle w:val="GvdeMetni"/>
        <w:ind w:right="150"/>
        <w:jc w:val="both"/>
      </w:pPr>
      <w:r w:rsidRPr="002F4596">
        <w:t>İn vitro verilere göre, CYP 2C8’in bilinen diğer inhibitörleri (</w:t>
      </w:r>
      <w:proofErr w:type="spellStart"/>
      <w:proofErr w:type="gramStart"/>
      <w:r w:rsidRPr="002F4596">
        <w:t>örn,trimetoprim</w:t>
      </w:r>
      <w:proofErr w:type="spellEnd"/>
      <w:proofErr w:type="gramEnd"/>
      <w:r w:rsidRPr="002F4596">
        <w:t xml:space="preserve">) ile klinik yönden önemli ilaç etkileşimleri beklenmemektedir. Ayrıca, </w:t>
      </w:r>
      <w:proofErr w:type="spellStart"/>
      <w:r w:rsidRPr="002F4596">
        <w:t>montelukastın</w:t>
      </w:r>
      <w:proofErr w:type="spellEnd"/>
      <w:r w:rsidRPr="002F4596">
        <w:t xml:space="preserve"> tek başına güçlü bir CYP 3A4 inhibitörü olan </w:t>
      </w:r>
      <w:proofErr w:type="spellStart"/>
      <w:r w:rsidRPr="002F4596">
        <w:t>itrakonazol</w:t>
      </w:r>
      <w:proofErr w:type="spellEnd"/>
      <w:r w:rsidRPr="002F4596">
        <w:t xml:space="preserve"> ile birlikte uygulanması </w:t>
      </w:r>
      <w:proofErr w:type="spellStart"/>
      <w:r w:rsidRPr="002F4596">
        <w:t>montelukastın</w:t>
      </w:r>
      <w:proofErr w:type="spellEnd"/>
      <w:r w:rsidRPr="002F4596">
        <w:t xml:space="preserve"> sistemik maruz kalımında anlamlı artışa yol açmamıştır.</w:t>
      </w:r>
    </w:p>
    <w:p w14:paraId="3C283216" w14:textId="77777777" w:rsidR="001C4E7C" w:rsidRPr="002F4596" w:rsidRDefault="001C4E7C" w:rsidP="00253DCE">
      <w:pPr>
        <w:pStyle w:val="GvdeMetni"/>
        <w:ind w:right="150"/>
        <w:jc w:val="both"/>
      </w:pPr>
    </w:p>
    <w:p w14:paraId="173D6FA2" w14:textId="77777777" w:rsidR="001C4E7C" w:rsidRPr="002F4596" w:rsidRDefault="001C4E7C" w:rsidP="00253DCE">
      <w:pPr>
        <w:pStyle w:val="GvdeMetni"/>
        <w:ind w:right="150"/>
        <w:jc w:val="both"/>
        <w:rPr>
          <w:b/>
          <w:bCs/>
        </w:rPr>
      </w:pPr>
      <w:r w:rsidRPr="002F4596">
        <w:rPr>
          <w:b/>
          <w:bCs/>
        </w:rPr>
        <w:t xml:space="preserve">Özel popülasyonlara ilişkin ek bilgiler: </w:t>
      </w:r>
    </w:p>
    <w:p w14:paraId="63349A42" w14:textId="77777777" w:rsidR="001C4E7C" w:rsidRPr="002F4596" w:rsidRDefault="001C4E7C" w:rsidP="00253DCE">
      <w:pPr>
        <w:pStyle w:val="GvdeMetni"/>
        <w:ind w:right="150"/>
        <w:jc w:val="both"/>
      </w:pPr>
      <w:r w:rsidRPr="002F4596">
        <w:t>Hiçbir etkileşim çalışması yapılmamıştır.</w:t>
      </w:r>
    </w:p>
    <w:p w14:paraId="19F4C68F" w14:textId="77777777" w:rsidR="001C4E7C" w:rsidRPr="002F4596" w:rsidRDefault="001C4E7C" w:rsidP="00253DCE">
      <w:pPr>
        <w:pStyle w:val="GvdeMetni"/>
        <w:ind w:right="150"/>
        <w:jc w:val="both"/>
      </w:pPr>
    </w:p>
    <w:p w14:paraId="763EAB45" w14:textId="5089403A" w:rsidR="001C4E7C" w:rsidRPr="002F4596" w:rsidRDefault="001C4E7C" w:rsidP="001C4E7C">
      <w:pPr>
        <w:pStyle w:val="GvdeMetni"/>
        <w:ind w:left="0" w:right="150"/>
        <w:jc w:val="both"/>
        <w:rPr>
          <w:b/>
          <w:bCs/>
        </w:rPr>
      </w:pPr>
      <w:r w:rsidRPr="002F4596">
        <w:t xml:space="preserve">    </w:t>
      </w:r>
      <w:r w:rsidRPr="002F4596">
        <w:rPr>
          <w:b/>
          <w:bCs/>
        </w:rPr>
        <w:t>Pediyatrik popülasyon:</w:t>
      </w:r>
    </w:p>
    <w:p w14:paraId="0B82F5BF" w14:textId="3C71DB52" w:rsidR="001C4E7C" w:rsidRPr="002F4596" w:rsidRDefault="001C4E7C" w:rsidP="00253DCE">
      <w:pPr>
        <w:pStyle w:val="GvdeMetni"/>
        <w:ind w:right="150"/>
        <w:jc w:val="both"/>
      </w:pPr>
      <w:r w:rsidRPr="002F4596">
        <w:t>Hiçbir etkileşim çalışması yapılmamıştır.</w:t>
      </w:r>
    </w:p>
    <w:p w14:paraId="19E53460" w14:textId="77777777" w:rsidR="00CB2508" w:rsidRPr="002F4596" w:rsidRDefault="00A12CE4" w:rsidP="007B7CCA">
      <w:pPr>
        <w:pStyle w:val="Balk1"/>
        <w:numPr>
          <w:ilvl w:val="1"/>
          <w:numId w:val="1"/>
        </w:numPr>
        <w:tabs>
          <w:tab w:val="left" w:pos="671"/>
        </w:tabs>
        <w:spacing w:before="7" w:line="550" w:lineRule="atLeast"/>
        <w:ind w:left="250" w:right="6421" w:firstLine="0"/>
        <w:jc w:val="both"/>
      </w:pPr>
      <w:r w:rsidRPr="002F4596">
        <w:t xml:space="preserve">Gebelik ve </w:t>
      </w:r>
      <w:r w:rsidRPr="002F4596">
        <w:rPr>
          <w:spacing w:val="-3"/>
        </w:rPr>
        <w:t xml:space="preserve">laktasyon </w:t>
      </w:r>
      <w:r w:rsidRPr="002F4596">
        <w:t>Genel</w:t>
      </w:r>
      <w:r w:rsidRPr="002F4596">
        <w:rPr>
          <w:spacing w:val="-1"/>
        </w:rPr>
        <w:t xml:space="preserve"> </w:t>
      </w:r>
      <w:r w:rsidRPr="002F4596">
        <w:t>tavsiye</w:t>
      </w:r>
    </w:p>
    <w:p w14:paraId="0916F436" w14:textId="77777777" w:rsidR="00CB2508" w:rsidRPr="002F4596" w:rsidRDefault="00A12CE4" w:rsidP="007B7CCA">
      <w:pPr>
        <w:pStyle w:val="GvdeMetni"/>
        <w:spacing w:line="273" w:lineRule="exact"/>
        <w:jc w:val="both"/>
      </w:pPr>
      <w:r w:rsidRPr="002F4596">
        <w:t>Gebelik kategorisi C'dir.</w:t>
      </w:r>
    </w:p>
    <w:p w14:paraId="0BF90FE7" w14:textId="77777777" w:rsidR="00224739" w:rsidRPr="002F4596" w:rsidRDefault="00224739" w:rsidP="009D4A1E">
      <w:pPr>
        <w:pStyle w:val="Balk1"/>
        <w:ind w:left="0"/>
        <w:jc w:val="both"/>
      </w:pPr>
    </w:p>
    <w:p w14:paraId="284BA481" w14:textId="44C67165" w:rsidR="00CB2508" w:rsidRPr="002F4596" w:rsidRDefault="00A12CE4" w:rsidP="007B7CCA">
      <w:pPr>
        <w:pStyle w:val="Balk1"/>
        <w:jc w:val="both"/>
      </w:pPr>
      <w:r w:rsidRPr="002F4596">
        <w:t>Çocuk doğurma potansiyeli bulunan kadınlar/Doğum kontrolü (Kontrasepsiyon)</w:t>
      </w:r>
    </w:p>
    <w:p w14:paraId="78F2BEBA" w14:textId="3BCFC7E4" w:rsidR="00CB2508" w:rsidRPr="002F4596" w:rsidRDefault="00802B47" w:rsidP="007B7CCA">
      <w:pPr>
        <w:pStyle w:val="GvdeMetni"/>
        <w:spacing w:line="274" w:lineRule="exact"/>
        <w:jc w:val="both"/>
      </w:pPr>
      <w:r w:rsidRPr="002F4596">
        <w:t>Çocuk doğurma potansiyeli bulunan kadınlarda üreme yeteneği üzerine etkilerine ilişkin yeterli veri mevcut değildir.</w:t>
      </w:r>
    </w:p>
    <w:p w14:paraId="138BEBEB" w14:textId="414E2392" w:rsidR="00802B47" w:rsidRDefault="00802B47" w:rsidP="007B7CCA">
      <w:pPr>
        <w:pStyle w:val="GvdeMetni"/>
        <w:spacing w:line="274" w:lineRule="exact"/>
        <w:jc w:val="both"/>
        <w:rPr>
          <w:strike/>
        </w:rPr>
      </w:pPr>
    </w:p>
    <w:p w14:paraId="6DB77446" w14:textId="77777777" w:rsidR="002F4596" w:rsidRPr="002F4596" w:rsidRDefault="002F4596" w:rsidP="007B7CCA">
      <w:pPr>
        <w:pStyle w:val="GvdeMetni"/>
        <w:spacing w:line="274" w:lineRule="exact"/>
        <w:jc w:val="both"/>
        <w:rPr>
          <w:strike/>
        </w:rPr>
      </w:pPr>
    </w:p>
    <w:p w14:paraId="5D8C9B60" w14:textId="3111BD77" w:rsidR="00CB2508" w:rsidRPr="002F4596" w:rsidRDefault="00A12CE4" w:rsidP="00F32CA1">
      <w:pPr>
        <w:pStyle w:val="Balk1"/>
        <w:jc w:val="both"/>
      </w:pPr>
      <w:r w:rsidRPr="002F4596">
        <w:t>Gebelik dönemi</w:t>
      </w:r>
    </w:p>
    <w:p w14:paraId="2F29FD26" w14:textId="5CDC1F22" w:rsidR="001C4E7C" w:rsidRPr="002F4596" w:rsidRDefault="00063B01" w:rsidP="00F32CA1">
      <w:pPr>
        <w:pStyle w:val="GvdeMetni"/>
        <w:spacing w:before="4"/>
        <w:jc w:val="both"/>
      </w:pPr>
      <w:proofErr w:type="spellStart"/>
      <w:r w:rsidRPr="002F4596">
        <w:t>Desloratadin</w:t>
      </w:r>
      <w:proofErr w:type="spellEnd"/>
      <w:r w:rsidRPr="002F4596">
        <w:t xml:space="preserve"> g</w:t>
      </w:r>
      <w:r w:rsidR="001C4E7C" w:rsidRPr="002F4596">
        <w:t xml:space="preserve">ebe kadınlar üzerinde yapılan çalışmalardan elde edilmiş olan önemli miktarda veri (1000’den fazla gebelik sonucu içeren) </w:t>
      </w:r>
      <w:proofErr w:type="spellStart"/>
      <w:r w:rsidR="001C4E7C" w:rsidRPr="002F4596">
        <w:t>desloratadin'in</w:t>
      </w:r>
      <w:proofErr w:type="spellEnd"/>
      <w:r w:rsidR="001C4E7C" w:rsidRPr="002F4596">
        <w:t xml:space="preserve"> </w:t>
      </w:r>
      <w:proofErr w:type="spellStart"/>
      <w:r w:rsidR="001C4E7C" w:rsidRPr="002F4596">
        <w:t>malformatif</w:t>
      </w:r>
      <w:proofErr w:type="spellEnd"/>
      <w:r w:rsidR="001C4E7C" w:rsidRPr="002F4596">
        <w:t xml:space="preserve"> veya </w:t>
      </w:r>
      <w:proofErr w:type="spellStart"/>
      <w:r w:rsidR="001C4E7C" w:rsidRPr="002F4596">
        <w:t>föto</w:t>
      </w:r>
      <w:proofErr w:type="spellEnd"/>
      <w:r w:rsidR="001C4E7C" w:rsidRPr="002F4596">
        <w:t xml:space="preserve">/yenidoğan toksisitesinin olmadığını göstermiştir. Hayvanlar üzerinde yapılan çalışmalar, gebelik /ve-veya/ </w:t>
      </w:r>
      <w:proofErr w:type="spellStart"/>
      <w:r w:rsidR="001C4E7C" w:rsidRPr="002F4596">
        <w:t>embriyonal</w:t>
      </w:r>
      <w:proofErr w:type="spellEnd"/>
      <w:r w:rsidR="001C4E7C" w:rsidRPr="002F4596">
        <w:t xml:space="preserve">/fetal gelişim /ve-veya/ doğum /ve-veya/ doğum sonrası gelişim üzerindeki etkiler bakımından yetersizdir (bkz. Bölüm 5.3). Önlem olması açısından, hamilelik sırasında </w:t>
      </w:r>
      <w:proofErr w:type="spellStart"/>
      <w:r w:rsidRPr="002F4596">
        <w:t>Montelukast</w:t>
      </w:r>
      <w:proofErr w:type="spellEnd"/>
      <w:r w:rsidR="001C4E7C" w:rsidRPr="002F4596">
        <w:t xml:space="preserve"> kullanımından kaçınılmalıdır.</w:t>
      </w:r>
    </w:p>
    <w:p w14:paraId="642ADFA1" w14:textId="4C0020A1" w:rsidR="001C4E7C" w:rsidRPr="002F4596" w:rsidRDefault="001C4E7C" w:rsidP="00F32CA1">
      <w:pPr>
        <w:pStyle w:val="GvdeMetni"/>
        <w:spacing w:before="4"/>
        <w:jc w:val="both"/>
      </w:pPr>
      <w:r w:rsidRPr="002F4596">
        <w:t xml:space="preserve"> Gebe kadınlarda </w:t>
      </w:r>
      <w:proofErr w:type="spellStart"/>
      <w:r w:rsidRPr="002F4596">
        <w:t>montelukast</w:t>
      </w:r>
      <w:proofErr w:type="spellEnd"/>
      <w:r w:rsidRPr="002F4596">
        <w:t xml:space="preserve"> kullanımı ile </w:t>
      </w:r>
      <w:proofErr w:type="spellStart"/>
      <w:r w:rsidRPr="002F4596">
        <w:t>major</w:t>
      </w:r>
      <w:proofErr w:type="spellEnd"/>
      <w:r w:rsidRPr="002F4596">
        <w:t xml:space="preserve"> doğum defektlerini değerlendiren, prospektif ve retrospektif kohort çalışmalarından elde edilen veriler ilaç ile ilişkili bir risk oluşturmadığını göstermiştir. Mevcut çalışmalar, bazı durumlarda retrospektif veri toplama ve tutarsız karşılaştırma grupları, küçük numune büyüklüğü dahil, metodolojik limitlere sahiptir. İnsanlara yönelik potansiyel risk </w:t>
      </w:r>
      <w:proofErr w:type="spellStart"/>
      <w:proofErr w:type="gramStart"/>
      <w:r w:rsidRPr="002F4596">
        <w:t>bilinmemektedir.MONDES</w:t>
      </w:r>
      <w:proofErr w:type="spellEnd"/>
      <w:proofErr w:type="gramEnd"/>
      <w:r w:rsidRPr="002F4596">
        <w:t xml:space="preserve"> gerekli olmadıkça gebelik döneminde kullanılmamalıdır.</w:t>
      </w:r>
    </w:p>
    <w:p w14:paraId="24078ED6" w14:textId="77777777" w:rsidR="00F32CA1" w:rsidRPr="002F4596" w:rsidRDefault="00F32CA1" w:rsidP="00F32CA1">
      <w:pPr>
        <w:pStyle w:val="GvdeMetni"/>
        <w:spacing w:before="4"/>
        <w:jc w:val="both"/>
      </w:pPr>
    </w:p>
    <w:p w14:paraId="595CB422" w14:textId="0CDED279" w:rsidR="00802B47" w:rsidRPr="002F4596" w:rsidRDefault="00A12CE4" w:rsidP="00F32CA1">
      <w:pPr>
        <w:pStyle w:val="Balk1"/>
        <w:spacing w:before="1"/>
        <w:jc w:val="both"/>
      </w:pPr>
      <w:r w:rsidRPr="002F4596">
        <w:t>Laktasyon dönemi</w:t>
      </w:r>
    </w:p>
    <w:p w14:paraId="6795CBAF" w14:textId="03A33545" w:rsidR="00581582" w:rsidRPr="002F4596" w:rsidRDefault="00581582" w:rsidP="00F32CA1">
      <w:pPr>
        <w:pStyle w:val="GvdeMetni"/>
        <w:ind w:right="106"/>
        <w:jc w:val="both"/>
      </w:pPr>
      <w:proofErr w:type="spellStart"/>
      <w:r w:rsidRPr="002F4596">
        <w:t>Desloratadin</w:t>
      </w:r>
      <w:proofErr w:type="spellEnd"/>
      <w:r w:rsidRPr="002F4596">
        <w:t xml:space="preserve"> </w:t>
      </w:r>
      <w:r w:rsidR="00063B01" w:rsidRPr="002F4596">
        <w:t>tedavi</w:t>
      </w:r>
      <w:r w:rsidR="00802B47" w:rsidRPr="002F4596">
        <w:t xml:space="preserve"> edilen kadınların emzirdikleri yenidoğanlarda/bebeklerde </w:t>
      </w:r>
      <w:proofErr w:type="spellStart"/>
      <w:r w:rsidR="00802B47" w:rsidRPr="002F4596">
        <w:t>desloratadin</w:t>
      </w:r>
      <w:proofErr w:type="spellEnd"/>
      <w:r w:rsidR="00802B47" w:rsidRPr="002F4596">
        <w:t xml:space="preserve"> tespit edilmiştir; ancak </w:t>
      </w:r>
      <w:proofErr w:type="spellStart"/>
      <w:r w:rsidR="00802B47" w:rsidRPr="002F4596">
        <w:t>desloratadinin</w:t>
      </w:r>
      <w:proofErr w:type="spellEnd"/>
      <w:r w:rsidR="00802B47" w:rsidRPr="002F4596">
        <w:t xml:space="preserve"> yenidoğanlar/bebekler üzerindeki etkisi bilinmemektedir.</w:t>
      </w:r>
    </w:p>
    <w:p w14:paraId="54775092" w14:textId="273F4A58" w:rsidR="00802B47" w:rsidRPr="002F4596" w:rsidRDefault="00581582" w:rsidP="00F32CA1">
      <w:pPr>
        <w:pStyle w:val="GvdeMetni"/>
        <w:ind w:right="106"/>
        <w:jc w:val="both"/>
      </w:pPr>
      <w:proofErr w:type="spellStart"/>
      <w:r w:rsidRPr="002F4596">
        <w:t>Montelukast</w:t>
      </w:r>
      <w:proofErr w:type="spellEnd"/>
      <w:r w:rsidR="00802B47" w:rsidRPr="002F4596">
        <w:t xml:space="preserve"> </w:t>
      </w:r>
      <w:r w:rsidRPr="002F4596">
        <w:t>s</w:t>
      </w:r>
      <w:r w:rsidR="00802B47" w:rsidRPr="002F4596">
        <w:t xml:space="preserve">ıçanlar üzerinde yapılan çalışmalar, </w:t>
      </w:r>
      <w:proofErr w:type="spellStart"/>
      <w:r w:rsidR="00802B47" w:rsidRPr="002F4596">
        <w:t>montelukastın</w:t>
      </w:r>
      <w:proofErr w:type="spellEnd"/>
      <w:r w:rsidR="00802B47" w:rsidRPr="002F4596">
        <w:t xml:space="preserve"> süt ile atıldığını göstermektedir (bkz. Bölüm 5.3); ancak </w:t>
      </w:r>
      <w:proofErr w:type="spellStart"/>
      <w:r w:rsidR="00802B47" w:rsidRPr="002F4596">
        <w:t>montelukastın</w:t>
      </w:r>
      <w:proofErr w:type="spellEnd"/>
      <w:r w:rsidR="00802B47" w:rsidRPr="002F4596">
        <w:t xml:space="preserve"> insan sütüyle atılıp atılmadığı bilinmemektedir. </w:t>
      </w:r>
    </w:p>
    <w:p w14:paraId="005AD12D" w14:textId="77777777" w:rsidR="00802B47" w:rsidRPr="002F4596" w:rsidRDefault="00802B47" w:rsidP="007B7CCA">
      <w:pPr>
        <w:pStyle w:val="GvdeMetni"/>
        <w:ind w:right="106"/>
        <w:jc w:val="both"/>
      </w:pPr>
    </w:p>
    <w:p w14:paraId="3717608C" w14:textId="77777777" w:rsidR="00802B47" w:rsidRPr="002F4596" w:rsidRDefault="00802B47" w:rsidP="007B7CCA">
      <w:pPr>
        <w:pStyle w:val="GvdeMetni"/>
        <w:ind w:right="106"/>
        <w:jc w:val="both"/>
        <w:rPr>
          <w:strike/>
        </w:rPr>
      </w:pPr>
      <w:r w:rsidRPr="002F4596">
        <w:t>MONDES laktasyon döneminde sadece kesin bir gereklilik olduğuna karar verilirse kullanılabilir.</w:t>
      </w:r>
    </w:p>
    <w:p w14:paraId="16DFB35B" w14:textId="77777777" w:rsidR="00CB2508" w:rsidRPr="002F4596" w:rsidRDefault="00CB2508" w:rsidP="007B7CCA">
      <w:pPr>
        <w:pStyle w:val="GvdeMetni"/>
        <w:spacing w:before="2"/>
        <w:ind w:left="0"/>
        <w:jc w:val="both"/>
      </w:pPr>
    </w:p>
    <w:p w14:paraId="54B8C8FB" w14:textId="4B27D25E" w:rsidR="00802B47" w:rsidRPr="002F4596" w:rsidRDefault="00A12CE4" w:rsidP="007B7CCA">
      <w:pPr>
        <w:pStyle w:val="Balk1"/>
        <w:jc w:val="both"/>
      </w:pPr>
      <w:r w:rsidRPr="002F4596">
        <w:t>Üreme yeteneği/Fertilite</w:t>
      </w:r>
    </w:p>
    <w:p w14:paraId="50033234" w14:textId="77777777" w:rsidR="00802B47" w:rsidRPr="002F4596" w:rsidRDefault="00802B47" w:rsidP="007B7CCA">
      <w:pPr>
        <w:pStyle w:val="GvdeMetni"/>
        <w:ind w:right="114"/>
        <w:jc w:val="both"/>
      </w:pPr>
      <w:proofErr w:type="spellStart"/>
      <w:r w:rsidRPr="002F4596">
        <w:t>Desloratadinin</w:t>
      </w:r>
      <w:proofErr w:type="spellEnd"/>
      <w:r w:rsidRPr="002F4596">
        <w:t xml:space="preserve"> erkek ve kadın fertilitesine ilişkin hiçbir veri yoktur. </w:t>
      </w:r>
    </w:p>
    <w:p w14:paraId="7CBBBA9F" w14:textId="5F62B23D" w:rsidR="00CB2508" w:rsidRPr="002F4596" w:rsidRDefault="001C4E7C" w:rsidP="001C4E7C">
      <w:pPr>
        <w:pStyle w:val="GvdeMetni"/>
        <w:spacing w:before="5"/>
        <w:ind w:left="284" w:hanging="34"/>
        <w:jc w:val="both"/>
      </w:pPr>
      <w:r w:rsidRPr="002F4596">
        <w:t xml:space="preserve">Hayvan çalışmalarında, </w:t>
      </w:r>
      <w:proofErr w:type="spellStart"/>
      <w:r w:rsidRPr="002F4596">
        <w:t>montelukast</w:t>
      </w:r>
      <w:proofErr w:type="spellEnd"/>
      <w:r w:rsidRPr="002F4596">
        <w:t xml:space="preserve"> klinik sistemik maruziyetin 24 katından daha yüksek sistemik 6 maruziyette doğurganlığı veya üreme performansını etkilememiştir. Sıçanlarda yapılan bir dişi doğurganlığı çalışmasında, 200 mg/kg/gün dozunda (klinik sistemik maruziyetin &gt;69 katı) yavruların ağırlığında az bir düşüş görülmüştür. Tavşanlarda yapılan çalışmalarda, klinik dozda görülen klinik sistemik maruziyetin &gt;24 katı sistemik maruziyetteki tamamlanmamış kemikleşme insidansının, eşzamanlı kontrol hayvanlarıyla karşılaştırıldığında daha yüksek olduğu görülmüştür. Sıçanlarda hiçbir anomali görülmemiştir. </w:t>
      </w:r>
      <w:proofErr w:type="spellStart"/>
      <w:r w:rsidRPr="002F4596">
        <w:t>Montelukastın</w:t>
      </w:r>
      <w:proofErr w:type="spellEnd"/>
      <w:r w:rsidRPr="002F4596">
        <w:t xml:space="preserve"> hayvanlarda plasenta bariyerini geçtiği ve süte karıştığı kanıtlanmıştır.</w:t>
      </w:r>
    </w:p>
    <w:p w14:paraId="00563438" w14:textId="4A34FC2B" w:rsidR="001C4E7C" w:rsidRPr="002F4596" w:rsidRDefault="001C4E7C" w:rsidP="007B7CCA">
      <w:pPr>
        <w:pStyle w:val="GvdeMetni"/>
        <w:spacing w:before="5"/>
        <w:ind w:left="0"/>
        <w:jc w:val="both"/>
      </w:pPr>
      <w:r w:rsidRPr="002F4596">
        <w:t xml:space="preserve">    </w:t>
      </w:r>
      <w:r w:rsidR="00F32CA1" w:rsidRPr="002F4596">
        <w:t xml:space="preserve"> </w:t>
      </w:r>
      <w:proofErr w:type="spellStart"/>
      <w:r w:rsidRPr="002F4596">
        <w:t>Montelukastın</w:t>
      </w:r>
      <w:proofErr w:type="spellEnd"/>
      <w:r w:rsidRPr="002F4596">
        <w:t xml:space="preserve"> insanlar üzerindeki üreme yeteneğine ilişkin yeterli veri mevcut değildir.</w:t>
      </w:r>
    </w:p>
    <w:p w14:paraId="6B5AA04A" w14:textId="77777777" w:rsidR="001C4E7C" w:rsidRPr="002F4596" w:rsidRDefault="001C4E7C" w:rsidP="007B7CCA">
      <w:pPr>
        <w:pStyle w:val="GvdeMetni"/>
        <w:spacing w:before="5"/>
        <w:ind w:left="0"/>
        <w:jc w:val="both"/>
      </w:pPr>
    </w:p>
    <w:p w14:paraId="02421FB6" w14:textId="3F70B284" w:rsidR="00802B47" w:rsidRPr="002F4596" w:rsidRDefault="00A12CE4" w:rsidP="007B7CCA">
      <w:pPr>
        <w:pStyle w:val="Balk1"/>
        <w:numPr>
          <w:ilvl w:val="1"/>
          <w:numId w:val="1"/>
        </w:numPr>
        <w:tabs>
          <w:tab w:val="left" w:pos="664"/>
        </w:tabs>
        <w:ind w:hanging="414"/>
        <w:jc w:val="both"/>
      </w:pPr>
      <w:r w:rsidRPr="002F4596">
        <w:t>Araç ve makine kullanımı üzerindeki</w:t>
      </w:r>
      <w:r w:rsidRPr="002F4596">
        <w:rPr>
          <w:spacing w:val="-3"/>
        </w:rPr>
        <w:t xml:space="preserve"> </w:t>
      </w:r>
      <w:r w:rsidRPr="002F4596">
        <w:t>etkiler</w:t>
      </w:r>
    </w:p>
    <w:p w14:paraId="617D3649" w14:textId="77777777" w:rsidR="009D4A1E" w:rsidRPr="002F4596" w:rsidRDefault="009D4A1E" w:rsidP="009D4A1E">
      <w:pPr>
        <w:pStyle w:val="Balk1"/>
        <w:tabs>
          <w:tab w:val="left" w:pos="664"/>
        </w:tabs>
        <w:ind w:left="249"/>
        <w:jc w:val="both"/>
      </w:pPr>
    </w:p>
    <w:p w14:paraId="3DC73134" w14:textId="31AB4033" w:rsidR="00802B47" w:rsidRPr="002F4596" w:rsidRDefault="00802B47" w:rsidP="007B7CCA">
      <w:pPr>
        <w:pStyle w:val="GvdeMetni"/>
        <w:ind w:right="122"/>
        <w:jc w:val="both"/>
        <w:rPr>
          <w:strike/>
        </w:rPr>
      </w:pPr>
      <w:r w:rsidRPr="002F4596">
        <w:t xml:space="preserve">Klinik çalışmalara göre, </w:t>
      </w:r>
      <w:proofErr w:type="spellStart"/>
      <w:r w:rsidR="00B25B6A" w:rsidRPr="002F4596">
        <w:t>MONDES</w:t>
      </w:r>
      <w:r w:rsidRPr="002F4596">
        <w:t>’</w:t>
      </w:r>
      <w:r w:rsidR="00B25B6A" w:rsidRPr="002F4596">
        <w:t>i</w:t>
      </w:r>
      <w:r w:rsidRPr="002F4596">
        <w:t>n</w:t>
      </w:r>
      <w:proofErr w:type="spellEnd"/>
      <w:r w:rsidRPr="002F4596">
        <w:t xml:space="preserve"> içeriğindeki </w:t>
      </w:r>
      <w:proofErr w:type="spellStart"/>
      <w:r w:rsidRPr="002F4596">
        <w:t>desloratadin</w:t>
      </w:r>
      <w:proofErr w:type="spellEnd"/>
      <w:r w:rsidRPr="002F4596">
        <w:t xml:space="preserve"> araç ve makine kullanma becerisi üzerinde hiçbir etkiye sahip değildir veya ihmal edilebilir bir etkiye sahiptir. </w:t>
      </w:r>
      <w:proofErr w:type="spellStart"/>
      <w:r w:rsidRPr="002F4596">
        <w:t>Montelukastın</w:t>
      </w:r>
      <w:proofErr w:type="spellEnd"/>
      <w:r w:rsidRPr="002F4596">
        <w:t xml:space="preserve"> da hastaların araç ve makine kullanma yeteneğini etkilemesi beklenmemektedir; ancak, çok nadir vakalarda uyuşukluk ve baş dönmesi bildirilmiştir.</w:t>
      </w:r>
    </w:p>
    <w:p w14:paraId="1DB7788E" w14:textId="77777777" w:rsidR="00802B47" w:rsidRPr="002F4596" w:rsidRDefault="00802B47" w:rsidP="007B7CCA">
      <w:pPr>
        <w:pStyle w:val="GvdeMetni"/>
        <w:ind w:right="122"/>
        <w:jc w:val="both"/>
        <w:rPr>
          <w:strike/>
        </w:rPr>
      </w:pPr>
    </w:p>
    <w:p w14:paraId="22988FD8" w14:textId="77777777" w:rsidR="00802B47" w:rsidRPr="002F4596" w:rsidRDefault="00802B47" w:rsidP="007B7CCA">
      <w:pPr>
        <w:pStyle w:val="GvdeMetni"/>
        <w:ind w:right="122"/>
        <w:jc w:val="both"/>
        <w:rPr>
          <w:strike/>
        </w:rPr>
      </w:pPr>
      <w:r w:rsidRPr="002F4596">
        <w:t>Tüm tıbbi ürünlere verilen cevap bireyler arasında farklı olduğundan, hastalara tıbbi ürüne verdikleri cevabı tam olarak anlayıncaya kadar araç veya makine kullanma gibi zihinsel uyanıklık gerektiren faaliyetlerde bulunmamaları tavsiye edilmelidir.</w:t>
      </w:r>
    </w:p>
    <w:p w14:paraId="51D3040B" w14:textId="31F49246" w:rsidR="00CB2508" w:rsidRDefault="00CB2508" w:rsidP="007B7CCA">
      <w:pPr>
        <w:pStyle w:val="GvdeMetni"/>
        <w:spacing w:before="3"/>
        <w:ind w:left="0"/>
        <w:jc w:val="both"/>
      </w:pPr>
    </w:p>
    <w:p w14:paraId="0E9C5030" w14:textId="1DBD033A" w:rsidR="002F4596" w:rsidRDefault="002F4596" w:rsidP="007B7CCA">
      <w:pPr>
        <w:pStyle w:val="GvdeMetni"/>
        <w:spacing w:before="3"/>
        <w:ind w:left="0"/>
        <w:jc w:val="both"/>
      </w:pPr>
    </w:p>
    <w:p w14:paraId="77318DFA" w14:textId="43209BB8" w:rsidR="002F4596" w:rsidRDefault="002F4596" w:rsidP="007B7CCA">
      <w:pPr>
        <w:pStyle w:val="GvdeMetni"/>
        <w:spacing w:before="3"/>
        <w:ind w:left="0"/>
        <w:jc w:val="both"/>
      </w:pPr>
    </w:p>
    <w:p w14:paraId="5502AAE6" w14:textId="77777777" w:rsidR="002F4596" w:rsidRPr="002F4596" w:rsidRDefault="002F4596" w:rsidP="007B7CCA">
      <w:pPr>
        <w:pStyle w:val="GvdeMetni"/>
        <w:spacing w:before="3"/>
        <w:ind w:left="0"/>
        <w:jc w:val="both"/>
      </w:pPr>
    </w:p>
    <w:p w14:paraId="274F0B24" w14:textId="77777777" w:rsidR="00CB2508" w:rsidRPr="002F4596" w:rsidRDefault="00A12CE4" w:rsidP="007B7CCA">
      <w:pPr>
        <w:pStyle w:val="Balk1"/>
        <w:numPr>
          <w:ilvl w:val="1"/>
          <w:numId w:val="1"/>
        </w:numPr>
        <w:tabs>
          <w:tab w:val="left" w:pos="664"/>
        </w:tabs>
        <w:ind w:hanging="414"/>
        <w:jc w:val="both"/>
      </w:pPr>
      <w:r w:rsidRPr="002F4596">
        <w:t>İstenmeyen etkiler</w:t>
      </w:r>
    </w:p>
    <w:p w14:paraId="42342206" w14:textId="77777777" w:rsidR="00CB2508" w:rsidRPr="002F4596" w:rsidRDefault="00CB2508" w:rsidP="007B7CCA">
      <w:pPr>
        <w:pStyle w:val="GvdeMetni"/>
        <w:spacing w:before="6"/>
        <w:ind w:left="0"/>
        <w:jc w:val="both"/>
        <w:rPr>
          <w:b/>
        </w:rPr>
      </w:pPr>
    </w:p>
    <w:p w14:paraId="650A2841" w14:textId="1A2A4FE1" w:rsidR="00CB2508" w:rsidRPr="002F4596" w:rsidRDefault="00A12CE4" w:rsidP="007B7CCA">
      <w:pPr>
        <w:ind w:left="250"/>
        <w:jc w:val="both"/>
        <w:rPr>
          <w:i/>
          <w:sz w:val="24"/>
          <w:szCs w:val="24"/>
        </w:rPr>
      </w:pPr>
      <w:proofErr w:type="spellStart"/>
      <w:r w:rsidRPr="002F4596">
        <w:rPr>
          <w:i/>
          <w:sz w:val="24"/>
          <w:szCs w:val="24"/>
        </w:rPr>
        <w:t>Desloratadin</w:t>
      </w:r>
      <w:proofErr w:type="spellEnd"/>
    </w:p>
    <w:p w14:paraId="64473823" w14:textId="77777777" w:rsidR="00581582" w:rsidRPr="002F4596" w:rsidRDefault="00581582" w:rsidP="007B7CCA">
      <w:pPr>
        <w:ind w:left="250"/>
        <w:jc w:val="both"/>
        <w:rPr>
          <w:i/>
          <w:sz w:val="24"/>
          <w:szCs w:val="24"/>
        </w:rPr>
      </w:pPr>
    </w:p>
    <w:p w14:paraId="51B72AEA" w14:textId="77777777" w:rsidR="009E0E25" w:rsidRPr="002F4596" w:rsidRDefault="009E0E25" w:rsidP="007B7CCA">
      <w:pPr>
        <w:ind w:left="250"/>
        <w:jc w:val="both"/>
        <w:rPr>
          <w:sz w:val="24"/>
          <w:szCs w:val="24"/>
          <w:u w:val="single"/>
        </w:rPr>
      </w:pPr>
      <w:r w:rsidRPr="002F4596">
        <w:rPr>
          <w:sz w:val="24"/>
          <w:szCs w:val="24"/>
          <w:u w:val="single"/>
        </w:rPr>
        <w:t>Güvenlilik profilinin özeti</w:t>
      </w:r>
    </w:p>
    <w:p w14:paraId="4E331F27" w14:textId="65210364" w:rsidR="00476082" w:rsidRPr="002F4596" w:rsidRDefault="00A12CE4" w:rsidP="007B7CCA">
      <w:pPr>
        <w:pStyle w:val="GvdeMetni"/>
        <w:ind w:right="127"/>
        <w:jc w:val="both"/>
      </w:pPr>
      <w:r w:rsidRPr="002F4596">
        <w:t xml:space="preserve">Alerjik </w:t>
      </w:r>
      <w:proofErr w:type="spellStart"/>
      <w:r w:rsidRPr="002F4596">
        <w:t>rinit</w:t>
      </w:r>
      <w:proofErr w:type="spellEnd"/>
      <w:r w:rsidRPr="002F4596">
        <w:t xml:space="preserve"> ve kronik </w:t>
      </w:r>
      <w:proofErr w:type="spellStart"/>
      <w:r w:rsidR="005235B4" w:rsidRPr="002F4596">
        <w:t>idiyopatik</w:t>
      </w:r>
      <w:proofErr w:type="spellEnd"/>
      <w:r w:rsidRPr="002F4596">
        <w:t xml:space="preserve"> ürtikerin de içinde bulunduğu </w:t>
      </w:r>
      <w:r w:rsidR="005235B4" w:rsidRPr="002F4596">
        <w:t xml:space="preserve">endikasyonları </w:t>
      </w:r>
      <w:r w:rsidRPr="002F4596">
        <w:t>kapsayan klinik</w:t>
      </w:r>
      <w:r w:rsidR="005235B4" w:rsidRPr="002F4596">
        <w:t xml:space="preserve"> çalışmalarda</w:t>
      </w:r>
      <w:r w:rsidRPr="002F4596">
        <w:t xml:space="preserve">, önerilen günlük 5 mg dozlarda, </w:t>
      </w:r>
      <w:proofErr w:type="spellStart"/>
      <w:r w:rsidRPr="002F4596">
        <w:t>desloratadin</w:t>
      </w:r>
      <w:proofErr w:type="spellEnd"/>
      <w:r w:rsidRPr="002F4596">
        <w:t xml:space="preserve"> kullanan hastaların %3'ünde plasebodan daha fazla yan etki</w:t>
      </w:r>
      <w:r w:rsidRPr="002F4596">
        <w:rPr>
          <w:spacing w:val="-1"/>
        </w:rPr>
        <w:t xml:space="preserve"> </w:t>
      </w:r>
      <w:r w:rsidRPr="002F4596">
        <w:t>görülmüştür.</w:t>
      </w:r>
      <w:r w:rsidR="00A37D91" w:rsidRPr="002F4596">
        <w:t xml:space="preserve"> </w:t>
      </w:r>
      <w:r w:rsidR="00476082" w:rsidRPr="002F4596">
        <w:t>Plasebodan daha fazla görülen ve en yaygın bildirilen istenmeyen reaksiyonlar bitkinlik (%1,2), ağız kuruluğu (%0,8) ve baş ağrısı (%0,6)’</w:t>
      </w:r>
      <w:proofErr w:type="spellStart"/>
      <w:r w:rsidR="00476082" w:rsidRPr="002F4596">
        <w:t>dır</w:t>
      </w:r>
      <w:proofErr w:type="spellEnd"/>
      <w:r w:rsidR="00476082" w:rsidRPr="002F4596">
        <w:t>.</w:t>
      </w:r>
    </w:p>
    <w:p w14:paraId="3E8BF45C" w14:textId="77777777" w:rsidR="00581582" w:rsidRPr="002F4596" w:rsidRDefault="00581582" w:rsidP="007B7CCA">
      <w:pPr>
        <w:pStyle w:val="GvdeMetni"/>
        <w:ind w:right="127"/>
        <w:jc w:val="both"/>
      </w:pPr>
    </w:p>
    <w:p w14:paraId="66A0EA17" w14:textId="16C32181" w:rsidR="00476082" w:rsidRPr="002F4596" w:rsidRDefault="00063B01" w:rsidP="00063B01">
      <w:pPr>
        <w:pStyle w:val="GvdeMetni"/>
        <w:ind w:right="127"/>
        <w:jc w:val="both"/>
        <w:rPr>
          <w:u w:val="single"/>
        </w:rPr>
      </w:pPr>
      <w:r w:rsidRPr="002F4596">
        <w:rPr>
          <w:u w:val="single"/>
        </w:rPr>
        <w:t>Pediyatrik popülasyon</w:t>
      </w:r>
    </w:p>
    <w:p w14:paraId="540832D3" w14:textId="5D6FBF89" w:rsidR="00476082" w:rsidRPr="002F4596" w:rsidRDefault="00476082" w:rsidP="007B7CCA">
      <w:pPr>
        <w:pStyle w:val="GvdeMetni"/>
        <w:ind w:right="127"/>
        <w:jc w:val="both"/>
      </w:pPr>
      <w:r w:rsidRPr="002F4596">
        <w:t xml:space="preserve">12-17 yaş arası 578 adolesan hastayla yapılan klinik çalışmada, en sık rastlanan istenmeyen olay baş ağrısı olup, bu yan etki </w:t>
      </w:r>
      <w:proofErr w:type="spellStart"/>
      <w:r w:rsidRPr="002F4596">
        <w:t>desloratadin</w:t>
      </w:r>
      <w:proofErr w:type="spellEnd"/>
      <w:r w:rsidRPr="002F4596">
        <w:t xml:space="preserve"> kullanan hastaların %5,9’u ve plasebo alan hastaların %6,9’unda </w:t>
      </w:r>
      <w:r w:rsidR="00F77FD8" w:rsidRPr="002F4596">
        <w:t>gözlemlenmiştir.</w:t>
      </w:r>
    </w:p>
    <w:p w14:paraId="47FD2B42" w14:textId="77777777" w:rsidR="00F77FD8" w:rsidRPr="002F4596" w:rsidRDefault="00F77FD8" w:rsidP="007B7CCA">
      <w:pPr>
        <w:pStyle w:val="GvdeMetni"/>
        <w:ind w:right="127"/>
        <w:jc w:val="both"/>
      </w:pPr>
    </w:p>
    <w:p w14:paraId="566A0AF1" w14:textId="1B55911E" w:rsidR="00F77FD8" w:rsidRPr="002F4596" w:rsidRDefault="00F77FD8" w:rsidP="007B7CCA">
      <w:pPr>
        <w:pStyle w:val="GvdeMetni"/>
        <w:ind w:right="127"/>
        <w:jc w:val="both"/>
      </w:pPr>
      <w:r w:rsidRPr="002F4596">
        <w:t>Klinik çalışmalarda plaseboya göre daha fazla bildirilen ve pazarlama sonrası dönemde bildirilen diğer istenmeyen etkiler aşağıda listelenmektedir. Sıklıklar şu şekilde tanımlanmıştır:</w:t>
      </w:r>
    </w:p>
    <w:p w14:paraId="54762C39" w14:textId="77777777" w:rsidR="00CB2508" w:rsidRPr="002F4596" w:rsidRDefault="00CB2508" w:rsidP="007B7CCA">
      <w:pPr>
        <w:pStyle w:val="GvdeMetni"/>
        <w:ind w:left="0"/>
        <w:jc w:val="both"/>
      </w:pPr>
    </w:p>
    <w:p w14:paraId="031D5FDC" w14:textId="1E664EDA" w:rsidR="00CB2508" w:rsidRPr="002F4596" w:rsidRDefault="00F77FD8" w:rsidP="007B7CCA">
      <w:pPr>
        <w:pStyle w:val="GvdeMetni"/>
        <w:ind w:right="121"/>
        <w:jc w:val="both"/>
      </w:pPr>
      <w:r w:rsidRPr="002F4596">
        <w:t xml:space="preserve">Farklı organ sistemlerinde; Çok </w:t>
      </w:r>
      <w:r w:rsidR="00A12CE4" w:rsidRPr="002F4596">
        <w:t>yaygın (≥</w:t>
      </w:r>
      <w:r w:rsidRPr="002F4596">
        <w:t>1</w:t>
      </w:r>
      <w:r w:rsidR="00A12CE4" w:rsidRPr="002F4596">
        <w:t>/10), yaygın</w:t>
      </w:r>
      <w:r w:rsidR="00A12CE4" w:rsidRPr="002F4596">
        <w:rPr>
          <w:spacing w:val="42"/>
        </w:rPr>
        <w:t xml:space="preserve"> </w:t>
      </w:r>
      <w:r w:rsidR="00A12CE4" w:rsidRPr="002F4596">
        <w:t>(≥1/100</w:t>
      </w:r>
      <w:r w:rsidR="00A12CE4" w:rsidRPr="002F4596">
        <w:rPr>
          <w:spacing w:val="43"/>
        </w:rPr>
        <w:t xml:space="preserve"> </w:t>
      </w:r>
      <w:r w:rsidR="00A12CE4" w:rsidRPr="002F4596">
        <w:t>ila</w:t>
      </w:r>
      <w:r w:rsidR="00A12CE4" w:rsidRPr="002F4596">
        <w:rPr>
          <w:spacing w:val="42"/>
        </w:rPr>
        <w:t xml:space="preserve"> </w:t>
      </w:r>
      <w:r w:rsidR="00A12CE4" w:rsidRPr="002F4596">
        <w:t>&lt;1/10),</w:t>
      </w:r>
      <w:r w:rsidR="00A12CE4" w:rsidRPr="002F4596">
        <w:rPr>
          <w:spacing w:val="46"/>
        </w:rPr>
        <w:t xml:space="preserve"> </w:t>
      </w:r>
      <w:r w:rsidR="00A12CE4" w:rsidRPr="002F4596">
        <w:t>yaygın</w:t>
      </w:r>
      <w:r w:rsidR="00A12CE4" w:rsidRPr="002F4596">
        <w:rPr>
          <w:spacing w:val="43"/>
        </w:rPr>
        <w:t xml:space="preserve"> </w:t>
      </w:r>
      <w:r w:rsidR="00A12CE4" w:rsidRPr="002F4596">
        <w:t>olmayan</w:t>
      </w:r>
      <w:r w:rsidR="00A12CE4" w:rsidRPr="002F4596">
        <w:rPr>
          <w:spacing w:val="43"/>
        </w:rPr>
        <w:t xml:space="preserve"> </w:t>
      </w:r>
      <w:r w:rsidR="00A12CE4" w:rsidRPr="002F4596">
        <w:t>(≥1/</w:t>
      </w:r>
      <w:r w:rsidRPr="002F4596">
        <w:t>1.000</w:t>
      </w:r>
      <w:r w:rsidR="00A12CE4" w:rsidRPr="002F4596">
        <w:rPr>
          <w:spacing w:val="43"/>
        </w:rPr>
        <w:t xml:space="preserve"> </w:t>
      </w:r>
      <w:r w:rsidR="00A12CE4" w:rsidRPr="002F4596">
        <w:t>ila</w:t>
      </w:r>
      <w:r w:rsidR="00A12CE4" w:rsidRPr="002F4596">
        <w:rPr>
          <w:spacing w:val="41"/>
        </w:rPr>
        <w:t xml:space="preserve"> </w:t>
      </w:r>
      <w:r w:rsidR="00A12CE4" w:rsidRPr="002F4596">
        <w:t>&lt;1/100),</w:t>
      </w:r>
      <w:r w:rsidR="00A12CE4" w:rsidRPr="002F4596">
        <w:rPr>
          <w:spacing w:val="43"/>
        </w:rPr>
        <w:t xml:space="preserve"> </w:t>
      </w:r>
      <w:r w:rsidR="00A12CE4" w:rsidRPr="002F4596">
        <w:t>seyrek</w:t>
      </w:r>
      <w:r w:rsidR="00A12CE4" w:rsidRPr="002F4596">
        <w:rPr>
          <w:spacing w:val="43"/>
        </w:rPr>
        <w:t xml:space="preserve"> </w:t>
      </w:r>
      <w:r w:rsidR="00A12CE4" w:rsidRPr="002F4596">
        <w:t>(≥1/10.000</w:t>
      </w:r>
      <w:r w:rsidR="00A12CE4" w:rsidRPr="002F4596">
        <w:rPr>
          <w:spacing w:val="43"/>
        </w:rPr>
        <w:t xml:space="preserve"> </w:t>
      </w:r>
      <w:r w:rsidR="00A12CE4" w:rsidRPr="002F4596">
        <w:t>ila</w:t>
      </w:r>
      <w:r w:rsidRPr="002F4596">
        <w:t xml:space="preserve"> </w:t>
      </w:r>
      <w:r w:rsidR="00A12CE4" w:rsidRPr="002F4596">
        <w:t>&lt;1/1.000), çok seyrek (&lt;1/10.000), bilinmiyor (eldeki verilerden hareketle tahmin edilemiyor).</w:t>
      </w:r>
    </w:p>
    <w:p w14:paraId="18F34015" w14:textId="77777777" w:rsidR="00CB2508" w:rsidRPr="002F4596" w:rsidRDefault="00CB2508" w:rsidP="007B7CCA">
      <w:pPr>
        <w:pStyle w:val="GvdeMetni"/>
        <w:spacing w:before="4"/>
        <w:ind w:left="0"/>
        <w:jc w:val="both"/>
      </w:pPr>
    </w:p>
    <w:p w14:paraId="0929560A" w14:textId="77777777" w:rsidR="00EE0CB1" w:rsidRPr="002F4596" w:rsidRDefault="00EE0CB1" w:rsidP="007B7CCA">
      <w:pPr>
        <w:pStyle w:val="GvdeMetni"/>
        <w:spacing w:before="4"/>
        <w:ind w:left="0"/>
        <w:jc w:val="both"/>
        <w:rPr>
          <w:b/>
          <w:bCs/>
        </w:rPr>
      </w:pPr>
      <w:r w:rsidRPr="002F4596">
        <w:rPr>
          <w:b/>
          <w:bCs/>
        </w:rPr>
        <w:t xml:space="preserve">    Metabolizma ve beslenme hastalıkları: </w:t>
      </w:r>
    </w:p>
    <w:p w14:paraId="25E02BF6" w14:textId="72D304F1" w:rsidR="00EE0CB1" w:rsidRPr="002F4596" w:rsidRDefault="00EE0CB1" w:rsidP="007B7CCA">
      <w:pPr>
        <w:pStyle w:val="GvdeMetni"/>
        <w:spacing w:before="4"/>
        <w:ind w:left="0"/>
        <w:jc w:val="both"/>
      </w:pPr>
      <w:r w:rsidRPr="002F4596">
        <w:t xml:space="preserve">    Bilinmiyor: İştah artması</w:t>
      </w:r>
    </w:p>
    <w:p w14:paraId="392F1048" w14:textId="77777777" w:rsidR="00EE0CB1" w:rsidRPr="002F4596" w:rsidRDefault="00EE0CB1" w:rsidP="007B7CCA">
      <w:pPr>
        <w:pStyle w:val="GvdeMetni"/>
        <w:spacing w:before="4"/>
        <w:ind w:left="0"/>
        <w:jc w:val="both"/>
      </w:pPr>
    </w:p>
    <w:p w14:paraId="46EE3235" w14:textId="2688E2AD" w:rsidR="00CB2508" w:rsidRPr="002F4596" w:rsidRDefault="00F77FD8" w:rsidP="007B7CCA">
      <w:pPr>
        <w:pStyle w:val="Balk1"/>
        <w:jc w:val="both"/>
      </w:pPr>
      <w:r w:rsidRPr="002F4596">
        <w:t xml:space="preserve">Psikiyatrik </w:t>
      </w:r>
      <w:r w:rsidR="00A12CE4" w:rsidRPr="002F4596">
        <w:t>hastalıklar</w:t>
      </w:r>
      <w:r w:rsidRPr="002F4596">
        <w:t>:</w:t>
      </w:r>
    </w:p>
    <w:p w14:paraId="05E299A2" w14:textId="16A7D3AA" w:rsidR="00F77FD8" w:rsidRPr="002F4596" w:rsidRDefault="00F77FD8" w:rsidP="007B7CCA">
      <w:pPr>
        <w:pStyle w:val="GvdeMetni"/>
        <w:spacing w:line="274" w:lineRule="exact"/>
        <w:jc w:val="both"/>
      </w:pPr>
      <w:r w:rsidRPr="002F4596">
        <w:t>Çok seyrek: Halüsinasyonlar</w:t>
      </w:r>
    </w:p>
    <w:p w14:paraId="338677D1" w14:textId="10F0C76B" w:rsidR="00EE0CB1" w:rsidRPr="002F4596" w:rsidRDefault="00EE0CB1" w:rsidP="007B7CCA">
      <w:pPr>
        <w:pStyle w:val="GvdeMetni"/>
        <w:spacing w:line="274" w:lineRule="exact"/>
        <w:jc w:val="both"/>
      </w:pPr>
      <w:r w:rsidRPr="002F4596">
        <w:t>Bilinmiyor: Anormal davranışlar, saldırganlık</w:t>
      </w:r>
    </w:p>
    <w:p w14:paraId="2EAEAD9B" w14:textId="77777777" w:rsidR="00CB2508" w:rsidRPr="002F4596" w:rsidRDefault="00CB2508" w:rsidP="007B7CCA">
      <w:pPr>
        <w:jc w:val="both"/>
        <w:rPr>
          <w:sz w:val="24"/>
          <w:szCs w:val="24"/>
        </w:rPr>
      </w:pPr>
    </w:p>
    <w:p w14:paraId="7E46DAF0" w14:textId="64E887E5" w:rsidR="00CB2508" w:rsidRPr="002F4596" w:rsidRDefault="00A12CE4" w:rsidP="007B7CCA">
      <w:pPr>
        <w:pStyle w:val="Balk1"/>
        <w:spacing w:before="60"/>
        <w:jc w:val="both"/>
      </w:pPr>
      <w:r w:rsidRPr="002F4596">
        <w:t xml:space="preserve">Sinir sistemi </w:t>
      </w:r>
      <w:r w:rsidR="00F77FD8" w:rsidRPr="002F4596">
        <w:t>hastalıkları:</w:t>
      </w:r>
    </w:p>
    <w:p w14:paraId="0C866F40" w14:textId="706CC885" w:rsidR="00F77FD8" w:rsidRPr="002F4596" w:rsidRDefault="00F77FD8" w:rsidP="007B7CCA">
      <w:pPr>
        <w:pStyle w:val="GvdeMetni"/>
        <w:spacing w:line="274" w:lineRule="exact"/>
        <w:jc w:val="both"/>
      </w:pPr>
      <w:r w:rsidRPr="002F4596">
        <w:t>Yaygın: Baş ağrısı</w:t>
      </w:r>
    </w:p>
    <w:p w14:paraId="21B5B530" w14:textId="0890B55C" w:rsidR="00063B01" w:rsidRPr="002F4596" w:rsidRDefault="00063B01" w:rsidP="00063B01">
      <w:pPr>
        <w:pStyle w:val="GvdeMetni"/>
        <w:jc w:val="both"/>
        <w:rPr>
          <w:strike/>
        </w:rPr>
      </w:pPr>
      <w:r w:rsidRPr="002F4596">
        <w:t xml:space="preserve">Çok seyrek: Baş dönmesi, </w:t>
      </w:r>
      <w:proofErr w:type="spellStart"/>
      <w:r w:rsidRPr="002F4596">
        <w:t>somnolans</w:t>
      </w:r>
      <w:proofErr w:type="spellEnd"/>
      <w:r w:rsidRPr="002F4596">
        <w:t>,</w:t>
      </w:r>
      <w:r w:rsidR="00581582" w:rsidRPr="002F4596">
        <w:t xml:space="preserve"> </w:t>
      </w:r>
      <w:r w:rsidRPr="002F4596">
        <w:t>insomnia, psikomotor hiperaktivite, nöbet</w:t>
      </w:r>
      <w:r w:rsidRPr="002F4596">
        <w:rPr>
          <w:strike/>
        </w:rPr>
        <w:t>.</w:t>
      </w:r>
    </w:p>
    <w:p w14:paraId="52F4A6D0" w14:textId="1B988189" w:rsidR="00063B01" w:rsidRPr="002F4596" w:rsidRDefault="00063B01" w:rsidP="00063B01">
      <w:pPr>
        <w:pStyle w:val="GvdeMetni"/>
        <w:jc w:val="both"/>
        <w:rPr>
          <w:strike/>
        </w:rPr>
      </w:pPr>
    </w:p>
    <w:p w14:paraId="44AE37A4" w14:textId="77777777" w:rsidR="009D4A1E" w:rsidRPr="002F4596" w:rsidRDefault="009D4A1E" w:rsidP="00063B01">
      <w:pPr>
        <w:pStyle w:val="GvdeMetni"/>
        <w:jc w:val="both"/>
        <w:rPr>
          <w:strike/>
        </w:rPr>
      </w:pPr>
    </w:p>
    <w:p w14:paraId="0EB05222" w14:textId="6A99645E" w:rsidR="00063B01" w:rsidRPr="002F4596" w:rsidRDefault="00063B01" w:rsidP="00063B01">
      <w:pPr>
        <w:pStyle w:val="GvdeMetni"/>
        <w:jc w:val="both"/>
        <w:rPr>
          <w:b/>
        </w:rPr>
      </w:pPr>
      <w:r w:rsidRPr="002F4596">
        <w:rPr>
          <w:b/>
        </w:rPr>
        <w:t>Göz hastalıkları</w:t>
      </w:r>
      <w:r w:rsidR="009D4A1E" w:rsidRPr="002F4596">
        <w:rPr>
          <w:b/>
        </w:rPr>
        <w:t>:</w:t>
      </w:r>
    </w:p>
    <w:p w14:paraId="1D4B8A4A" w14:textId="77777777" w:rsidR="00063B01" w:rsidRPr="002F4596" w:rsidRDefault="00063B01" w:rsidP="00063B01">
      <w:pPr>
        <w:pStyle w:val="GvdeMetni"/>
        <w:jc w:val="both"/>
      </w:pPr>
      <w:r w:rsidRPr="002F4596">
        <w:t>Bilinmiyor: Göz kuruluğu</w:t>
      </w:r>
    </w:p>
    <w:p w14:paraId="3A9B012A" w14:textId="77777777" w:rsidR="00063B01" w:rsidRPr="002F4596" w:rsidRDefault="00063B01" w:rsidP="007B7CCA">
      <w:pPr>
        <w:pStyle w:val="Balk1"/>
        <w:jc w:val="both"/>
      </w:pPr>
    </w:p>
    <w:p w14:paraId="5116517C" w14:textId="76050B9A" w:rsidR="00CB2508" w:rsidRPr="002F4596" w:rsidRDefault="00A12CE4" w:rsidP="007B7CCA">
      <w:pPr>
        <w:pStyle w:val="Balk1"/>
        <w:jc w:val="both"/>
      </w:pPr>
      <w:r w:rsidRPr="002F4596">
        <w:t>Kardiyak</w:t>
      </w:r>
      <w:r w:rsidR="00F77FD8" w:rsidRPr="002F4596">
        <w:t xml:space="preserve"> hastalıklar:</w:t>
      </w:r>
    </w:p>
    <w:p w14:paraId="6040DB82" w14:textId="7581CBA1" w:rsidR="00CB2508" w:rsidRPr="002F4596" w:rsidRDefault="00A12CE4" w:rsidP="007B7CCA">
      <w:pPr>
        <w:pStyle w:val="GvdeMetni"/>
        <w:spacing w:line="274" w:lineRule="exact"/>
        <w:jc w:val="both"/>
      </w:pPr>
      <w:r w:rsidRPr="002F4596">
        <w:t xml:space="preserve">Çok seyrek: Taşikardi, </w:t>
      </w:r>
      <w:proofErr w:type="spellStart"/>
      <w:r w:rsidRPr="002F4596">
        <w:t>palpitasyon</w:t>
      </w:r>
      <w:proofErr w:type="spellEnd"/>
      <w:r w:rsidRPr="002F4596">
        <w:t>.</w:t>
      </w:r>
    </w:p>
    <w:p w14:paraId="133C399A" w14:textId="7583C01E" w:rsidR="00F77FD8" w:rsidRPr="002F4596" w:rsidRDefault="00F77FD8" w:rsidP="007B7CCA">
      <w:pPr>
        <w:pStyle w:val="GvdeMetni"/>
        <w:spacing w:line="274" w:lineRule="exact"/>
        <w:jc w:val="both"/>
      </w:pPr>
      <w:r w:rsidRPr="002F4596">
        <w:t>Bilinmiyor: QT uzaması</w:t>
      </w:r>
    </w:p>
    <w:p w14:paraId="333205C9" w14:textId="77777777" w:rsidR="00CB2508" w:rsidRPr="002F4596" w:rsidRDefault="00CB2508" w:rsidP="007B7CCA">
      <w:pPr>
        <w:pStyle w:val="GvdeMetni"/>
        <w:spacing w:before="5"/>
        <w:ind w:left="0"/>
        <w:jc w:val="both"/>
      </w:pPr>
    </w:p>
    <w:p w14:paraId="2114B7A7" w14:textId="28789B7B" w:rsidR="00CB2508" w:rsidRPr="002F4596" w:rsidRDefault="00A12CE4" w:rsidP="007B7CCA">
      <w:pPr>
        <w:pStyle w:val="Balk1"/>
        <w:jc w:val="both"/>
      </w:pPr>
      <w:proofErr w:type="spellStart"/>
      <w:r w:rsidRPr="002F4596">
        <w:t>Gastrointestinal</w:t>
      </w:r>
      <w:proofErr w:type="spellEnd"/>
      <w:r w:rsidRPr="002F4596">
        <w:t xml:space="preserve"> </w:t>
      </w:r>
      <w:r w:rsidR="00F77FD8" w:rsidRPr="002F4596">
        <w:t>hastalıklar:</w:t>
      </w:r>
    </w:p>
    <w:p w14:paraId="12C1EC33" w14:textId="126177D6" w:rsidR="00F77FD8" w:rsidRPr="002F4596" w:rsidRDefault="00F77FD8" w:rsidP="007B7CCA">
      <w:pPr>
        <w:pStyle w:val="Balk1"/>
        <w:jc w:val="both"/>
        <w:rPr>
          <w:b w:val="0"/>
          <w:bCs w:val="0"/>
        </w:rPr>
      </w:pPr>
      <w:r w:rsidRPr="002F4596">
        <w:rPr>
          <w:b w:val="0"/>
          <w:bCs w:val="0"/>
        </w:rPr>
        <w:t>Yaygın: Ağız kuruluğu.</w:t>
      </w:r>
    </w:p>
    <w:p w14:paraId="32D64E05" w14:textId="7D129EF0" w:rsidR="00CB2508" w:rsidRPr="002F4596" w:rsidRDefault="00A12CE4" w:rsidP="007B7CCA">
      <w:pPr>
        <w:pStyle w:val="GvdeMetni"/>
        <w:spacing w:line="274" w:lineRule="exact"/>
        <w:jc w:val="both"/>
      </w:pPr>
      <w:r w:rsidRPr="002F4596">
        <w:t>Çok seyrek: Abdominal ağrı, bulantı, kusma, dispepsi,</w:t>
      </w:r>
      <w:r w:rsidR="00F77FD8" w:rsidRPr="002F4596">
        <w:t xml:space="preserve"> diyare</w:t>
      </w:r>
      <w:r w:rsidRPr="002F4596">
        <w:t>.</w:t>
      </w:r>
    </w:p>
    <w:p w14:paraId="627BF32D" w14:textId="77777777" w:rsidR="00CB2508" w:rsidRPr="002F4596" w:rsidRDefault="00CB2508" w:rsidP="007B7CCA">
      <w:pPr>
        <w:pStyle w:val="GvdeMetni"/>
        <w:spacing w:before="5"/>
        <w:ind w:left="0"/>
        <w:jc w:val="both"/>
      </w:pPr>
    </w:p>
    <w:p w14:paraId="482CEBA0" w14:textId="47FBBF8D" w:rsidR="00CB2508" w:rsidRPr="002F4596" w:rsidRDefault="00A12CE4" w:rsidP="007B7CCA">
      <w:pPr>
        <w:pStyle w:val="Balk1"/>
        <w:jc w:val="both"/>
      </w:pPr>
      <w:proofErr w:type="spellStart"/>
      <w:r w:rsidRPr="002F4596">
        <w:t>Hepato</w:t>
      </w:r>
      <w:r w:rsidR="001C4E7C" w:rsidRPr="002F4596">
        <w:t>-</w:t>
      </w:r>
      <w:r w:rsidRPr="002F4596">
        <w:t>bilier</w:t>
      </w:r>
      <w:proofErr w:type="spellEnd"/>
      <w:r w:rsidRPr="002F4596">
        <w:t xml:space="preserve"> </w:t>
      </w:r>
      <w:r w:rsidR="00F708CA" w:rsidRPr="002F4596">
        <w:t>hastalıklar:</w:t>
      </w:r>
    </w:p>
    <w:p w14:paraId="7E5830A3" w14:textId="625A94E2" w:rsidR="00CB2508" w:rsidRPr="002F4596" w:rsidRDefault="00A12CE4" w:rsidP="007B7CCA">
      <w:pPr>
        <w:pStyle w:val="GvdeMetni"/>
        <w:spacing w:line="274" w:lineRule="exact"/>
        <w:jc w:val="both"/>
      </w:pPr>
      <w:r w:rsidRPr="002F4596">
        <w:t xml:space="preserve">Çok seyrek: Karaciğer enzimlerinde yükselme, </w:t>
      </w:r>
      <w:proofErr w:type="spellStart"/>
      <w:r w:rsidRPr="002F4596">
        <w:t>bilirubin</w:t>
      </w:r>
      <w:r w:rsidR="001C4E7C" w:rsidRPr="002F4596">
        <w:t>de</w:t>
      </w:r>
      <w:proofErr w:type="spellEnd"/>
      <w:r w:rsidRPr="002F4596">
        <w:t xml:space="preserve"> artışı, hepatit.</w:t>
      </w:r>
    </w:p>
    <w:p w14:paraId="16C6CA8C" w14:textId="2AB708A7" w:rsidR="00F708CA" w:rsidRPr="002F4596" w:rsidRDefault="00F708CA" w:rsidP="007B7CCA">
      <w:pPr>
        <w:pStyle w:val="GvdeMetni"/>
        <w:spacing w:line="274" w:lineRule="exact"/>
        <w:jc w:val="both"/>
      </w:pPr>
      <w:r w:rsidRPr="002F4596">
        <w:t>Bilinmiyor: Sarılık</w:t>
      </w:r>
    </w:p>
    <w:p w14:paraId="3EBDEFC4" w14:textId="62631737" w:rsidR="00036214" w:rsidRDefault="00036214" w:rsidP="001C4E7C">
      <w:pPr>
        <w:pStyle w:val="GvdeMetni"/>
        <w:spacing w:line="274" w:lineRule="exact"/>
        <w:ind w:left="0"/>
        <w:jc w:val="both"/>
      </w:pPr>
    </w:p>
    <w:p w14:paraId="0E7E74C5" w14:textId="77777777" w:rsidR="002F4596" w:rsidRPr="002F4596" w:rsidRDefault="002F4596" w:rsidP="001C4E7C">
      <w:pPr>
        <w:pStyle w:val="GvdeMetni"/>
        <w:spacing w:line="274" w:lineRule="exact"/>
        <w:ind w:left="0"/>
        <w:jc w:val="both"/>
      </w:pPr>
    </w:p>
    <w:p w14:paraId="538CD1AD" w14:textId="0B3791E6" w:rsidR="00F708CA" w:rsidRPr="002F4596" w:rsidRDefault="00F708CA" w:rsidP="007B7CCA">
      <w:pPr>
        <w:pStyle w:val="GvdeMetni"/>
        <w:spacing w:line="274" w:lineRule="exact"/>
        <w:jc w:val="both"/>
        <w:rPr>
          <w:b/>
          <w:bCs/>
        </w:rPr>
      </w:pPr>
      <w:r w:rsidRPr="002F4596">
        <w:rPr>
          <w:b/>
          <w:bCs/>
        </w:rPr>
        <w:t>Deri ve deri altı hastalıkları:</w:t>
      </w:r>
    </w:p>
    <w:p w14:paraId="028D968F" w14:textId="540BF68D" w:rsidR="00F708CA" w:rsidRPr="002F4596" w:rsidRDefault="00F708CA" w:rsidP="007B7CCA">
      <w:pPr>
        <w:pStyle w:val="GvdeMetni"/>
        <w:spacing w:line="274" w:lineRule="exact"/>
        <w:jc w:val="both"/>
      </w:pPr>
      <w:r w:rsidRPr="002F4596">
        <w:t>Bilinmiyor: Işığa duyarlılık</w:t>
      </w:r>
    </w:p>
    <w:p w14:paraId="184EE36A" w14:textId="77777777" w:rsidR="00CB2508" w:rsidRPr="002F4596" w:rsidRDefault="00CB2508" w:rsidP="007B7CCA">
      <w:pPr>
        <w:pStyle w:val="GvdeMetni"/>
        <w:spacing w:before="5"/>
        <w:ind w:left="0"/>
        <w:jc w:val="both"/>
      </w:pPr>
    </w:p>
    <w:p w14:paraId="25771946" w14:textId="28534470" w:rsidR="00CB2508" w:rsidRPr="002F4596" w:rsidRDefault="00A12CE4" w:rsidP="007B7CCA">
      <w:pPr>
        <w:pStyle w:val="Balk1"/>
        <w:jc w:val="both"/>
      </w:pPr>
      <w:r w:rsidRPr="002F4596">
        <w:t xml:space="preserve">Kas-iskelet </w:t>
      </w:r>
      <w:r w:rsidR="00F708CA" w:rsidRPr="002F4596">
        <w:t xml:space="preserve">bozuklukları, </w:t>
      </w:r>
      <w:r w:rsidRPr="002F4596">
        <w:t xml:space="preserve">bağ </w:t>
      </w:r>
      <w:r w:rsidR="00F708CA" w:rsidRPr="002F4596">
        <w:t>doku ve kemik hastalıkları:</w:t>
      </w:r>
    </w:p>
    <w:p w14:paraId="65115C02" w14:textId="77777777" w:rsidR="00CB2508" w:rsidRPr="002F4596" w:rsidRDefault="00A12CE4" w:rsidP="007B7CCA">
      <w:pPr>
        <w:pStyle w:val="GvdeMetni"/>
        <w:spacing w:line="274" w:lineRule="exact"/>
        <w:jc w:val="both"/>
      </w:pPr>
      <w:r w:rsidRPr="002F4596">
        <w:t>Çok seyrek: Miyalji.</w:t>
      </w:r>
    </w:p>
    <w:p w14:paraId="2C9713E4" w14:textId="77777777" w:rsidR="00F708CA" w:rsidRPr="002F4596" w:rsidRDefault="00F708CA" w:rsidP="007B7CCA">
      <w:pPr>
        <w:pStyle w:val="GvdeMetni"/>
        <w:spacing w:line="274" w:lineRule="exact"/>
        <w:jc w:val="both"/>
        <w:rPr>
          <w:b/>
          <w:bCs/>
        </w:rPr>
      </w:pPr>
    </w:p>
    <w:p w14:paraId="29676B1F" w14:textId="16EE1EEA" w:rsidR="00F708CA" w:rsidRPr="002F4596" w:rsidRDefault="00F708CA" w:rsidP="007B7CCA">
      <w:pPr>
        <w:pStyle w:val="GvdeMetni"/>
        <w:spacing w:line="274" w:lineRule="exact"/>
        <w:jc w:val="both"/>
        <w:rPr>
          <w:b/>
          <w:bCs/>
        </w:rPr>
      </w:pPr>
      <w:r w:rsidRPr="002F4596">
        <w:rPr>
          <w:b/>
          <w:bCs/>
        </w:rPr>
        <w:t>Genel bozukluklar ve uygulama bölgesine ilişkin hastalıklar:</w:t>
      </w:r>
    </w:p>
    <w:p w14:paraId="40FAF0BD" w14:textId="08361E37" w:rsidR="00F708CA" w:rsidRPr="002F4596" w:rsidRDefault="00F708CA" w:rsidP="007B7CCA">
      <w:pPr>
        <w:pStyle w:val="GvdeMetni"/>
        <w:spacing w:line="274" w:lineRule="exact"/>
        <w:jc w:val="both"/>
      </w:pPr>
      <w:r w:rsidRPr="002F4596">
        <w:t>Yaygın: Yorgunluk</w:t>
      </w:r>
    </w:p>
    <w:p w14:paraId="5537BFC8" w14:textId="0E416C73" w:rsidR="00F708CA" w:rsidRPr="002F4596" w:rsidRDefault="00F708CA" w:rsidP="007B7CCA">
      <w:pPr>
        <w:pStyle w:val="GvdeMetni"/>
        <w:spacing w:line="274" w:lineRule="exact"/>
        <w:jc w:val="both"/>
      </w:pPr>
      <w:r w:rsidRPr="002F4596">
        <w:t xml:space="preserve">Çok seyrek: Hipersensitivite reaksiyonları (anafilaksi, </w:t>
      </w:r>
      <w:proofErr w:type="spellStart"/>
      <w:r w:rsidRPr="002F4596">
        <w:t>anjiyoödem</w:t>
      </w:r>
      <w:proofErr w:type="spellEnd"/>
      <w:r w:rsidRPr="002F4596">
        <w:t xml:space="preserve">, </w:t>
      </w:r>
      <w:proofErr w:type="spellStart"/>
      <w:r w:rsidRPr="002F4596">
        <w:t>dispne</w:t>
      </w:r>
      <w:proofErr w:type="spellEnd"/>
      <w:r w:rsidRPr="002F4596">
        <w:t xml:space="preserve">, </w:t>
      </w:r>
      <w:proofErr w:type="spellStart"/>
      <w:r w:rsidRPr="002F4596">
        <w:t>pirurit</w:t>
      </w:r>
      <w:proofErr w:type="spellEnd"/>
      <w:r w:rsidRPr="002F4596">
        <w:t>, döküntü ve ürtiker gibi).</w:t>
      </w:r>
    </w:p>
    <w:p w14:paraId="78C0CBD3" w14:textId="45FF5C57" w:rsidR="00F708CA" w:rsidRPr="002F4596" w:rsidRDefault="00F708CA" w:rsidP="007B7CCA">
      <w:pPr>
        <w:pStyle w:val="GvdeMetni"/>
        <w:spacing w:line="274" w:lineRule="exact"/>
        <w:jc w:val="both"/>
      </w:pPr>
      <w:r w:rsidRPr="002F4596">
        <w:t xml:space="preserve">Bilinmiyor: </w:t>
      </w:r>
      <w:proofErr w:type="spellStart"/>
      <w:r w:rsidRPr="002F4596">
        <w:t>Asteni</w:t>
      </w:r>
      <w:proofErr w:type="spellEnd"/>
      <w:r w:rsidRPr="002F4596">
        <w:t>.</w:t>
      </w:r>
    </w:p>
    <w:p w14:paraId="3310C7A1" w14:textId="77777777" w:rsidR="00F708CA" w:rsidRPr="002F4596" w:rsidRDefault="00F708CA" w:rsidP="007B7CCA">
      <w:pPr>
        <w:pStyle w:val="GvdeMetni"/>
        <w:spacing w:line="274" w:lineRule="exact"/>
        <w:jc w:val="both"/>
      </w:pPr>
    </w:p>
    <w:p w14:paraId="3E535EFD" w14:textId="77777777" w:rsidR="001C4E7C" w:rsidRPr="002F4596" w:rsidRDefault="001C4E7C" w:rsidP="007B7CCA">
      <w:pPr>
        <w:pStyle w:val="GvdeMetni"/>
        <w:spacing w:line="274" w:lineRule="exact"/>
        <w:jc w:val="both"/>
        <w:rPr>
          <w:b/>
          <w:bCs/>
        </w:rPr>
      </w:pPr>
      <w:r w:rsidRPr="002F4596">
        <w:rPr>
          <w:b/>
          <w:bCs/>
        </w:rPr>
        <w:t xml:space="preserve">Araştırmalar: </w:t>
      </w:r>
    </w:p>
    <w:p w14:paraId="16C1ACEB" w14:textId="2453CFB0" w:rsidR="001C4E7C" w:rsidRPr="002F4596" w:rsidRDefault="001C4E7C" w:rsidP="007B7CCA">
      <w:pPr>
        <w:pStyle w:val="GvdeMetni"/>
        <w:spacing w:line="274" w:lineRule="exact"/>
        <w:jc w:val="both"/>
      </w:pPr>
      <w:r w:rsidRPr="002F4596">
        <w:t>Bilinmiyor: Kilo artışı</w:t>
      </w:r>
    </w:p>
    <w:p w14:paraId="2580C43D" w14:textId="77777777" w:rsidR="001C4E7C" w:rsidRPr="002F4596" w:rsidRDefault="001C4E7C" w:rsidP="007B7CCA">
      <w:pPr>
        <w:pStyle w:val="GvdeMetni"/>
        <w:spacing w:line="274" w:lineRule="exact"/>
        <w:jc w:val="both"/>
      </w:pPr>
    </w:p>
    <w:p w14:paraId="73F96244" w14:textId="67985FEC" w:rsidR="001C4E7C" w:rsidRPr="002F4596" w:rsidRDefault="001C4E7C" w:rsidP="007B7CCA">
      <w:pPr>
        <w:pStyle w:val="GvdeMetni"/>
        <w:spacing w:line="274" w:lineRule="exact"/>
        <w:jc w:val="both"/>
        <w:rPr>
          <w:b/>
          <w:bCs/>
        </w:rPr>
      </w:pPr>
      <w:r w:rsidRPr="002F4596">
        <w:rPr>
          <w:b/>
          <w:bCs/>
        </w:rPr>
        <w:t>Özel popülasyonlara ilişkin ek bilgiler:</w:t>
      </w:r>
    </w:p>
    <w:p w14:paraId="0F6923BE" w14:textId="77777777" w:rsidR="001C4E7C" w:rsidRPr="002F4596" w:rsidRDefault="001C4E7C" w:rsidP="007B7CCA">
      <w:pPr>
        <w:pStyle w:val="GvdeMetni"/>
        <w:spacing w:line="274" w:lineRule="exact"/>
        <w:jc w:val="both"/>
        <w:rPr>
          <w:b/>
          <w:bCs/>
        </w:rPr>
      </w:pPr>
    </w:p>
    <w:p w14:paraId="68681CF0" w14:textId="5A63021F" w:rsidR="00F708CA" w:rsidRPr="002F4596" w:rsidRDefault="00F708CA" w:rsidP="007B7CCA">
      <w:pPr>
        <w:pStyle w:val="GvdeMetni"/>
        <w:spacing w:line="274" w:lineRule="exact"/>
        <w:jc w:val="both"/>
        <w:rPr>
          <w:b/>
          <w:bCs/>
        </w:rPr>
      </w:pPr>
      <w:r w:rsidRPr="002F4596">
        <w:rPr>
          <w:b/>
          <w:bCs/>
        </w:rPr>
        <w:t>Pediyatrik popülasyon:</w:t>
      </w:r>
    </w:p>
    <w:p w14:paraId="519594E1" w14:textId="70473DFC" w:rsidR="00063B01" w:rsidRPr="002F4596" w:rsidRDefault="00063B01" w:rsidP="00581582">
      <w:pPr>
        <w:pStyle w:val="GvdeMetni"/>
        <w:spacing w:line="274" w:lineRule="exact"/>
        <w:jc w:val="both"/>
      </w:pPr>
      <w:r w:rsidRPr="002F4596">
        <w:t>Pediyatrik hastalarda pazarlama sonrası verilerden elde edilen diğer sıklığı bilinmeyen istenmeyen yan etkilerin QT uzaması, anormal davranış ve agresyonu aritmi ve bradikardiyi içerdiği bildirilmiştir.</w:t>
      </w:r>
    </w:p>
    <w:p w14:paraId="7821D9A4" w14:textId="77777777" w:rsidR="00581582" w:rsidRPr="002F4596" w:rsidRDefault="00581582" w:rsidP="00581582">
      <w:pPr>
        <w:pStyle w:val="GvdeMetni"/>
        <w:spacing w:line="274" w:lineRule="exact"/>
        <w:jc w:val="both"/>
      </w:pPr>
    </w:p>
    <w:p w14:paraId="727D4EAE" w14:textId="77777777" w:rsidR="00063B01" w:rsidRPr="002F4596" w:rsidRDefault="00063B01" w:rsidP="00063B01">
      <w:pPr>
        <w:pStyle w:val="GvdeMetni"/>
        <w:spacing w:line="274" w:lineRule="exact"/>
        <w:jc w:val="both"/>
      </w:pPr>
      <w:r w:rsidRPr="002F4596">
        <w:t xml:space="preserve">Retrospektif gözlemsel bir güvenlilik çalışması, </w:t>
      </w:r>
      <w:proofErr w:type="spellStart"/>
      <w:r w:rsidRPr="002F4596">
        <w:t>desloratadin</w:t>
      </w:r>
      <w:proofErr w:type="spellEnd"/>
      <w:r w:rsidRPr="002F4596">
        <w:t xml:space="preserve"> alan 0-19 yaş arası hastalarda </w:t>
      </w:r>
      <w:proofErr w:type="spellStart"/>
      <w:r w:rsidRPr="002F4596">
        <w:t>desloratadin</w:t>
      </w:r>
      <w:proofErr w:type="spellEnd"/>
      <w:r w:rsidRPr="002F4596">
        <w:t xml:space="preserve"> almayan dönemlere kıyasla yeni başlangıçlı nöbet insidansında artış olduğunu göstermiştir. 0-4 yaş arası çocuklarda, düzeltilmiş mutlak artış 100.000 kişi yılı (PY) başına 37,5 (%95 Güven Aralığı (GA) 10,5-64,5) olup, yeni başlayan nöbet oranı 100.000 PY başına 80,3’tür. 5-19 yaş arası hastalar arasında, düzeltilmiş mutlak artış 100.000 </w:t>
      </w:r>
      <w:proofErr w:type="spellStart"/>
      <w:r w:rsidRPr="002F4596">
        <w:t>PY’de</w:t>
      </w:r>
      <w:proofErr w:type="spellEnd"/>
      <w:r w:rsidRPr="002F4596">
        <w:t xml:space="preserve"> 11,3 (%95 CI 2,3-20,2) iken, arka plan oranı 100.000 </w:t>
      </w:r>
      <w:proofErr w:type="spellStart"/>
      <w:r w:rsidRPr="002F4596">
        <w:t>PY’de</w:t>
      </w:r>
      <w:proofErr w:type="spellEnd"/>
      <w:r w:rsidRPr="002F4596">
        <w:t xml:space="preserve"> 36,4’tür (bkz. Bölüm 4.4).</w:t>
      </w:r>
    </w:p>
    <w:p w14:paraId="5E88F449" w14:textId="77777777" w:rsidR="00063B01" w:rsidRPr="002F4596" w:rsidRDefault="00063B01" w:rsidP="007B7CCA">
      <w:pPr>
        <w:ind w:left="250"/>
        <w:jc w:val="both"/>
        <w:rPr>
          <w:i/>
          <w:sz w:val="24"/>
          <w:szCs w:val="24"/>
        </w:rPr>
      </w:pPr>
    </w:p>
    <w:p w14:paraId="0DA9D061" w14:textId="4C406C56" w:rsidR="00F708CA" w:rsidRPr="002F4596" w:rsidRDefault="00A12CE4" w:rsidP="007B7CCA">
      <w:pPr>
        <w:ind w:left="250"/>
        <w:jc w:val="both"/>
        <w:rPr>
          <w:i/>
          <w:sz w:val="24"/>
          <w:szCs w:val="24"/>
        </w:rPr>
      </w:pPr>
      <w:proofErr w:type="spellStart"/>
      <w:r w:rsidRPr="002F4596">
        <w:rPr>
          <w:i/>
          <w:sz w:val="24"/>
          <w:szCs w:val="24"/>
        </w:rPr>
        <w:t>Montelukast</w:t>
      </w:r>
      <w:proofErr w:type="spellEnd"/>
    </w:p>
    <w:p w14:paraId="6E8497EA" w14:textId="2CA202F3" w:rsidR="00F708CA" w:rsidRPr="002F4596" w:rsidRDefault="00F708CA" w:rsidP="007B7CCA">
      <w:pPr>
        <w:pStyle w:val="GvdeMetni"/>
        <w:ind w:right="105"/>
        <w:jc w:val="both"/>
      </w:pPr>
      <w:r w:rsidRPr="002F4596">
        <w:t xml:space="preserve">Klinik çalışmalarda </w:t>
      </w:r>
      <w:proofErr w:type="spellStart"/>
      <w:r w:rsidRPr="002F4596">
        <w:t>montelukast</w:t>
      </w:r>
      <w:proofErr w:type="spellEnd"/>
      <w:r w:rsidRPr="002F4596">
        <w:t xml:space="preserve"> aşağıdaki şekillerde değerlendirilmiştir:</w:t>
      </w:r>
    </w:p>
    <w:p w14:paraId="7339F481" w14:textId="0DDDECA4" w:rsidR="002516CE" w:rsidRPr="002F4596" w:rsidRDefault="002516CE" w:rsidP="007B7CCA">
      <w:pPr>
        <w:pStyle w:val="NormalWeb"/>
        <w:numPr>
          <w:ilvl w:val="0"/>
          <w:numId w:val="3"/>
        </w:numPr>
        <w:jc w:val="both"/>
      </w:pPr>
      <w:r w:rsidRPr="002F4596">
        <w:t xml:space="preserve">10 mg film kaplı tabletler 15 yaş ve </w:t>
      </w:r>
      <w:proofErr w:type="spellStart"/>
      <w:r w:rsidRPr="002F4596">
        <w:t>üstündeki</w:t>
      </w:r>
      <w:proofErr w:type="spellEnd"/>
      <w:r w:rsidRPr="002F4596">
        <w:t xml:space="preserve"> </w:t>
      </w:r>
      <w:proofErr w:type="spellStart"/>
      <w:r w:rsidRPr="002F4596">
        <w:t>yaklaşık</w:t>
      </w:r>
      <w:proofErr w:type="spellEnd"/>
      <w:r w:rsidRPr="002F4596">
        <w:t xml:space="preserve"> 4000 ergen ve </w:t>
      </w:r>
      <w:proofErr w:type="spellStart"/>
      <w:r w:rsidRPr="002F4596">
        <w:t>erişkin</w:t>
      </w:r>
      <w:proofErr w:type="spellEnd"/>
      <w:r w:rsidRPr="002F4596">
        <w:t xml:space="preserve"> astımlı hastada </w:t>
      </w:r>
    </w:p>
    <w:p w14:paraId="210E08E0" w14:textId="20A5C0A1" w:rsidR="002516CE" w:rsidRPr="002F4596" w:rsidRDefault="002516CE" w:rsidP="007B7CCA">
      <w:pPr>
        <w:pStyle w:val="NormalWeb"/>
        <w:numPr>
          <w:ilvl w:val="0"/>
          <w:numId w:val="3"/>
        </w:numPr>
        <w:jc w:val="both"/>
      </w:pPr>
      <w:r w:rsidRPr="002F4596">
        <w:t xml:space="preserve">10 mg film kaplı tabletler 15 yaş ve </w:t>
      </w:r>
      <w:proofErr w:type="spellStart"/>
      <w:r w:rsidRPr="002F4596">
        <w:t>üstündeki</w:t>
      </w:r>
      <w:proofErr w:type="spellEnd"/>
      <w:r w:rsidRPr="002F4596">
        <w:t xml:space="preserve"> </w:t>
      </w:r>
      <w:proofErr w:type="spellStart"/>
      <w:r w:rsidRPr="002F4596">
        <w:t>yaklaşık</w:t>
      </w:r>
      <w:proofErr w:type="spellEnd"/>
      <w:r w:rsidRPr="002F4596">
        <w:t xml:space="preserve"> 400 mevsimsel alerjik </w:t>
      </w:r>
      <w:proofErr w:type="spellStart"/>
      <w:r w:rsidRPr="002F4596">
        <w:t>rinitli</w:t>
      </w:r>
      <w:proofErr w:type="spellEnd"/>
      <w:r w:rsidRPr="002F4596">
        <w:t xml:space="preserve"> ergen ve </w:t>
      </w:r>
      <w:proofErr w:type="spellStart"/>
      <w:r w:rsidRPr="002F4596">
        <w:t>erişkin</w:t>
      </w:r>
      <w:proofErr w:type="spellEnd"/>
      <w:r w:rsidRPr="002F4596">
        <w:t xml:space="preserve"> astımlı hastada</w:t>
      </w:r>
    </w:p>
    <w:p w14:paraId="31E64266" w14:textId="110D949F" w:rsidR="00EE0CB1" w:rsidRPr="002F4596" w:rsidRDefault="00EE0CB1" w:rsidP="007B7CCA">
      <w:pPr>
        <w:pStyle w:val="NormalWeb"/>
        <w:numPr>
          <w:ilvl w:val="0"/>
          <w:numId w:val="3"/>
        </w:numPr>
        <w:jc w:val="both"/>
      </w:pPr>
      <w:r w:rsidRPr="002F4596">
        <w:rPr>
          <w:lang w:bidi="tr-TR"/>
        </w:rPr>
        <w:t>5 mg çiğneme tabletleri 6-14 yaş arasındaki 1750 pediyatrik astımlı hastada</w:t>
      </w:r>
    </w:p>
    <w:p w14:paraId="4883819F" w14:textId="601F0382" w:rsidR="002516CE" w:rsidRPr="002F4596" w:rsidRDefault="002516CE" w:rsidP="007B7CCA">
      <w:pPr>
        <w:pStyle w:val="NormalWeb"/>
        <w:ind w:left="284"/>
        <w:jc w:val="both"/>
      </w:pPr>
      <w:proofErr w:type="spellStart"/>
      <w:r w:rsidRPr="002F4596">
        <w:t>Montelukastla</w:t>
      </w:r>
      <w:proofErr w:type="spellEnd"/>
      <w:r w:rsidRPr="002F4596">
        <w:t xml:space="preserve"> tedavi edilen 15 yaş ve </w:t>
      </w:r>
      <w:proofErr w:type="spellStart"/>
      <w:r w:rsidRPr="002F4596">
        <w:t>üstu</w:t>
      </w:r>
      <w:proofErr w:type="spellEnd"/>
      <w:r w:rsidRPr="002F4596">
        <w:t xml:space="preserve">̈ (iki 12 haftalık </w:t>
      </w:r>
      <w:proofErr w:type="spellStart"/>
      <w:r w:rsidRPr="002F4596">
        <w:t>çalışma</w:t>
      </w:r>
      <w:proofErr w:type="spellEnd"/>
      <w:r w:rsidRPr="002F4596">
        <w:t xml:space="preserve"> n=795) astımlı hastalarda yapılan klinik </w:t>
      </w:r>
      <w:proofErr w:type="spellStart"/>
      <w:r w:rsidRPr="002F4596">
        <w:t>çalışmalarda</w:t>
      </w:r>
      <w:proofErr w:type="spellEnd"/>
      <w:r w:rsidRPr="002F4596">
        <w:t xml:space="preserve">, plaseboya göre daha </w:t>
      </w:r>
      <w:proofErr w:type="spellStart"/>
      <w:r w:rsidRPr="002F4596">
        <w:t>yüksek</w:t>
      </w:r>
      <w:proofErr w:type="spellEnd"/>
      <w:r w:rsidRPr="002F4596">
        <w:t xml:space="preserve"> oranda rapor edilen, </w:t>
      </w:r>
      <w:proofErr w:type="spellStart"/>
      <w:r w:rsidRPr="002F4596">
        <w:t>ilaçla</w:t>
      </w:r>
      <w:proofErr w:type="spellEnd"/>
      <w:r w:rsidRPr="002F4596">
        <w:t xml:space="preserve"> </w:t>
      </w:r>
      <w:proofErr w:type="spellStart"/>
      <w:r w:rsidRPr="002F4596">
        <w:t>ilişkili</w:t>
      </w:r>
      <w:proofErr w:type="spellEnd"/>
      <w:r w:rsidRPr="002F4596">
        <w:t xml:space="preserve">, yaygın olarak (≥1/100, &lt;1/10) </w:t>
      </w:r>
      <w:proofErr w:type="spellStart"/>
      <w:r w:rsidRPr="002F4596">
        <w:t>görülen</w:t>
      </w:r>
      <w:proofErr w:type="spellEnd"/>
      <w:r w:rsidRPr="002F4596">
        <w:t xml:space="preserve">, advers reaksiyonlar </w:t>
      </w:r>
      <w:proofErr w:type="spellStart"/>
      <w:r w:rsidRPr="002F4596">
        <w:t>aşağıdaki</w:t>
      </w:r>
      <w:proofErr w:type="spellEnd"/>
      <w:r w:rsidRPr="002F4596">
        <w:t xml:space="preserve"> gibidir:</w:t>
      </w:r>
    </w:p>
    <w:p w14:paraId="3BAFE682" w14:textId="595A7C10" w:rsidR="002516CE" w:rsidRPr="002F4596" w:rsidRDefault="002516CE" w:rsidP="007B7CCA">
      <w:pPr>
        <w:ind w:left="284" w:right="5926"/>
        <w:jc w:val="both"/>
        <w:rPr>
          <w:sz w:val="24"/>
          <w:szCs w:val="24"/>
        </w:rPr>
      </w:pPr>
      <w:r w:rsidRPr="002F4596">
        <w:rPr>
          <w:b/>
          <w:sz w:val="24"/>
          <w:szCs w:val="24"/>
        </w:rPr>
        <w:t xml:space="preserve">Sinir sistemi hastalıkları </w:t>
      </w:r>
      <w:r w:rsidRPr="002F4596">
        <w:rPr>
          <w:sz w:val="24"/>
          <w:szCs w:val="24"/>
        </w:rPr>
        <w:t>Yaygın: Baş ağrısı</w:t>
      </w:r>
    </w:p>
    <w:p w14:paraId="50AD8E42" w14:textId="77777777" w:rsidR="002516CE" w:rsidRPr="002F4596" w:rsidRDefault="002516CE" w:rsidP="007B7CCA">
      <w:pPr>
        <w:ind w:left="284" w:right="5926"/>
        <w:jc w:val="both"/>
        <w:rPr>
          <w:sz w:val="24"/>
          <w:szCs w:val="24"/>
        </w:rPr>
      </w:pPr>
    </w:p>
    <w:p w14:paraId="7628E6CD" w14:textId="77777777" w:rsidR="002516CE" w:rsidRPr="002F4596" w:rsidRDefault="002516CE" w:rsidP="007B7CCA">
      <w:pPr>
        <w:pStyle w:val="Balk1"/>
        <w:ind w:left="284"/>
        <w:jc w:val="both"/>
      </w:pPr>
      <w:proofErr w:type="spellStart"/>
      <w:r w:rsidRPr="002F4596">
        <w:t>Gastrointestinal</w:t>
      </w:r>
      <w:proofErr w:type="spellEnd"/>
      <w:r w:rsidRPr="002F4596">
        <w:t xml:space="preserve"> hastalıkları</w:t>
      </w:r>
    </w:p>
    <w:p w14:paraId="5509B681" w14:textId="7DED729D" w:rsidR="00A37D91" w:rsidRPr="002F4596" w:rsidRDefault="00A37D91" w:rsidP="007B7CCA">
      <w:pPr>
        <w:pStyle w:val="GvdeMetni"/>
        <w:spacing w:line="274" w:lineRule="exact"/>
        <w:ind w:left="284"/>
        <w:jc w:val="both"/>
      </w:pPr>
      <w:r w:rsidRPr="002F4596">
        <w:t>Yaygın: Karın ağrısı</w:t>
      </w:r>
    </w:p>
    <w:p w14:paraId="1952DA89" w14:textId="77777777" w:rsidR="00A37D91" w:rsidRPr="002F4596" w:rsidRDefault="00A37D91" w:rsidP="007B7CCA">
      <w:pPr>
        <w:pStyle w:val="GvdeMetni"/>
        <w:spacing w:line="274" w:lineRule="exact"/>
        <w:ind w:left="284"/>
        <w:jc w:val="both"/>
      </w:pPr>
    </w:p>
    <w:p w14:paraId="3B4C1E12" w14:textId="02A565FD" w:rsidR="00EE0CB1" w:rsidRPr="002F4596" w:rsidRDefault="00EE0CB1" w:rsidP="007B7CCA">
      <w:pPr>
        <w:pStyle w:val="GvdeMetni"/>
        <w:spacing w:line="274" w:lineRule="exact"/>
        <w:ind w:left="284"/>
        <w:jc w:val="both"/>
      </w:pPr>
      <w:r w:rsidRPr="002F4596">
        <w:t>Klinik çalışmalardaki belirli sayıda hastada yapılan uzun süreli astım tedavisinde erişkinlerde 2 yıla kadar ve 6-14 yaş arasında pediyatrik hastalarda 6 aya kadar güvenlilik profili değişmemiştir.</w:t>
      </w:r>
    </w:p>
    <w:p w14:paraId="0A2E7E29" w14:textId="77777777" w:rsidR="00EE0CB1" w:rsidRPr="002F4596" w:rsidRDefault="00EE0CB1" w:rsidP="007B7CCA">
      <w:pPr>
        <w:pStyle w:val="GvdeMetni"/>
        <w:spacing w:line="274" w:lineRule="exact"/>
        <w:ind w:left="284"/>
        <w:jc w:val="both"/>
      </w:pPr>
    </w:p>
    <w:p w14:paraId="7AA5003C" w14:textId="77777777" w:rsidR="00A37D91" w:rsidRPr="002F4596" w:rsidRDefault="00A37D91" w:rsidP="007B7CCA">
      <w:pPr>
        <w:pStyle w:val="GvdeMetni"/>
        <w:spacing w:line="274" w:lineRule="exact"/>
        <w:ind w:left="284"/>
        <w:jc w:val="both"/>
      </w:pPr>
      <w:r w:rsidRPr="002F4596">
        <w:lastRenderedPageBreak/>
        <w:t>Pazarlama sonrası deneyim</w:t>
      </w:r>
    </w:p>
    <w:p w14:paraId="6118AA83" w14:textId="1AE7DB6C" w:rsidR="002516CE" w:rsidRPr="002F4596" w:rsidRDefault="002516CE" w:rsidP="007B7CCA">
      <w:pPr>
        <w:pStyle w:val="GvdeMetni"/>
        <w:spacing w:line="274" w:lineRule="exact"/>
        <w:ind w:left="284"/>
        <w:jc w:val="both"/>
      </w:pPr>
      <w:r w:rsidRPr="002F4596">
        <w:t xml:space="preserve">Pazarlama sonrası kullanımda bildirilen istenmeyen reaksiyonlar sistem organ sınıfı ve spesifik istenmeyen olay terimine göre listelenmektedir. Sıklık kategorileri, ilgili klinik </w:t>
      </w:r>
      <w:proofErr w:type="spellStart"/>
      <w:r w:rsidRPr="002F4596">
        <w:t>çalışmalara</w:t>
      </w:r>
      <w:proofErr w:type="spellEnd"/>
      <w:r w:rsidRPr="002F4596">
        <w:t xml:space="preserve"> dayanarak </w:t>
      </w:r>
      <w:proofErr w:type="spellStart"/>
      <w:r w:rsidRPr="002F4596">
        <w:t>hesaplanmıştır</w:t>
      </w:r>
      <w:proofErr w:type="spellEnd"/>
      <w:r w:rsidRPr="002F4596">
        <w:t xml:space="preserve">. Sıklık kategorisi: Her bir istenmeyen olay terimi </w:t>
      </w:r>
      <w:proofErr w:type="spellStart"/>
      <w:r w:rsidRPr="002F4596">
        <w:t>için</w:t>
      </w:r>
      <w:proofErr w:type="spellEnd"/>
      <w:r w:rsidRPr="002F4596">
        <w:t xml:space="preserve">, klinik </w:t>
      </w:r>
      <w:proofErr w:type="spellStart"/>
      <w:r w:rsidRPr="002F4596">
        <w:t>çalışmalar</w:t>
      </w:r>
      <w:proofErr w:type="spellEnd"/>
      <w:r w:rsidRPr="002F4596">
        <w:t xml:space="preserve"> </w:t>
      </w:r>
      <w:proofErr w:type="spellStart"/>
      <w:r w:rsidRPr="002F4596">
        <w:t>veritabanında</w:t>
      </w:r>
      <w:proofErr w:type="spellEnd"/>
      <w:r w:rsidRPr="002F4596">
        <w:t xml:space="preserve"> bildirilen insidans olarak tanımlanır: </w:t>
      </w:r>
    </w:p>
    <w:p w14:paraId="4BD96FC3" w14:textId="77777777" w:rsidR="00A37D91" w:rsidRPr="002F4596" w:rsidRDefault="00A37D91" w:rsidP="007B7CCA">
      <w:pPr>
        <w:pStyle w:val="GvdeMetni"/>
        <w:spacing w:line="274" w:lineRule="exact"/>
        <w:ind w:left="284"/>
        <w:jc w:val="both"/>
      </w:pPr>
    </w:p>
    <w:p w14:paraId="7737262F" w14:textId="3404340E" w:rsidR="00CB2508" w:rsidRPr="002F4596" w:rsidRDefault="00A12CE4" w:rsidP="007B7CCA">
      <w:pPr>
        <w:pStyle w:val="GvdeMetni"/>
        <w:ind w:right="106"/>
        <w:jc w:val="both"/>
      </w:pPr>
      <w:r w:rsidRPr="002F4596">
        <w:t>Çok yaygın (≥1/10), yaygın (≥1/100 ila &lt;1/10); yaygın olmayan (≥1/1.000 ila &lt;1/100); seyrek (≥1/10.000 ila &lt;1/1.000); çok seyrek (&lt;1/10.000)</w:t>
      </w:r>
      <w:r w:rsidR="002516CE" w:rsidRPr="002F4596">
        <w:t>.</w:t>
      </w:r>
    </w:p>
    <w:p w14:paraId="19C0C978" w14:textId="77777777" w:rsidR="00CB2508" w:rsidRPr="002F4596" w:rsidRDefault="00CB2508" w:rsidP="007B7CCA">
      <w:pPr>
        <w:pStyle w:val="GvdeMetni"/>
        <w:ind w:left="0"/>
        <w:jc w:val="both"/>
      </w:pPr>
    </w:p>
    <w:p w14:paraId="64A8A60A" w14:textId="77777777" w:rsidR="007F16C5" w:rsidRPr="002F4596" w:rsidRDefault="002516CE" w:rsidP="007B7CCA">
      <w:pPr>
        <w:ind w:left="250" w:right="2284"/>
        <w:jc w:val="both"/>
        <w:rPr>
          <w:b/>
          <w:bCs/>
          <w:iCs/>
          <w:sz w:val="24"/>
          <w:szCs w:val="24"/>
        </w:rPr>
      </w:pPr>
      <w:r w:rsidRPr="002F4596">
        <w:rPr>
          <w:b/>
          <w:bCs/>
          <w:iCs/>
          <w:sz w:val="24"/>
          <w:szCs w:val="24"/>
        </w:rPr>
        <w:t xml:space="preserve">Enfeksiyonlar ve </w:t>
      </w:r>
      <w:proofErr w:type="spellStart"/>
      <w:r w:rsidRPr="002F4596">
        <w:rPr>
          <w:b/>
          <w:bCs/>
          <w:iCs/>
          <w:sz w:val="24"/>
          <w:szCs w:val="24"/>
        </w:rPr>
        <w:t>enfestasyonlar</w:t>
      </w:r>
      <w:proofErr w:type="spellEnd"/>
      <w:r w:rsidRPr="002F4596">
        <w:rPr>
          <w:b/>
          <w:bCs/>
          <w:iCs/>
          <w:sz w:val="24"/>
          <w:szCs w:val="24"/>
        </w:rPr>
        <w:t>:</w:t>
      </w:r>
    </w:p>
    <w:p w14:paraId="1DA36BC3" w14:textId="4A9EE3F4" w:rsidR="007F16C5" w:rsidRPr="002F4596" w:rsidRDefault="007F16C5" w:rsidP="007B7CCA">
      <w:pPr>
        <w:ind w:left="250" w:right="2284"/>
        <w:jc w:val="both"/>
        <w:rPr>
          <w:position w:val="8"/>
          <w:sz w:val="24"/>
          <w:szCs w:val="24"/>
        </w:rPr>
      </w:pPr>
      <w:r w:rsidRPr="002F4596">
        <w:rPr>
          <w:iCs/>
          <w:sz w:val="24"/>
          <w:szCs w:val="24"/>
        </w:rPr>
        <w:t>Çok yaygın: Üst solunum yolu enfeksiyonu</w:t>
      </w:r>
      <w:r w:rsidRPr="002F4596">
        <w:rPr>
          <w:position w:val="8"/>
          <w:sz w:val="24"/>
          <w:szCs w:val="24"/>
        </w:rPr>
        <w:t>†</w:t>
      </w:r>
    </w:p>
    <w:p w14:paraId="7CA02444" w14:textId="77777777" w:rsidR="007F16C5" w:rsidRPr="002F4596" w:rsidRDefault="007F16C5" w:rsidP="007B7CCA">
      <w:pPr>
        <w:ind w:left="250" w:right="2284"/>
        <w:jc w:val="both"/>
        <w:rPr>
          <w:position w:val="8"/>
          <w:sz w:val="24"/>
          <w:szCs w:val="24"/>
        </w:rPr>
      </w:pPr>
    </w:p>
    <w:p w14:paraId="73DC085B" w14:textId="3C4A6204" w:rsidR="007F16C5" w:rsidRPr="002F4596" w:rsidRDefault="007F16C5" w:rsidP="007B7CCA">
      <w:pPr>
        <w:ind w:left="250" w:right="2284"/>
        <w:jc w:val="both"/>
        <w:rPr>
          <w:b/>
          <w:bCs/>
          <w:iCs/>
          <w:sz w:val="24"/>
          <w:szCs w:val="24"/>
        </w:rPr>
      </w:pPr>
      <w:r w:rsidRPr="002F4596">
        <w:rPr>
          <w:b/>
          <w:bCs/>
          <w:iCs/>
          <w:sz w:val="24"/>
          <w:szCs w:val="24"/>
        </w:rPr>
        <w:t>Kan ve lenf sistemi hastalıkları:</w:t>
      </w:r>
    </w:p>
    <w:p w14:paraId="4A528480" w14:textId="2F4C5479" w:rsidR="007F16C5" w:rsidRPr="002F4596" w:rsidRDefault="007F16C5" w:rsidP="007B7CCA">
      <w:pPr>
        <w:ind w:left="250" w:right="2284"/>
        <w:jc w:val="both"/>
        <w:rPr>
          <w:iCs/>
          <w:sz w:val="24"/>
          <w:szCs w:val="24"/>
        </w:rPr>
      </w:pPr>
      <w:r w:rsidRPr="002F4596">
        <w:rPr>
          <w:iCs/>
          <w:sz w:val="24"/>
          <w:szCs w:val="24"/>
        </w:rPr>
        <w:t>Seyrek: Kanama eğiliminde artış</w:t>
      </w:r>
    </w:p>
    <w:p w14:paraId="36F6EE6A" w14:textId="488972A9" w:rsidR="007F16C5" w:rsidRPr="002F4596" w:rsidRDefault="00EE0CB1" w:rsidP="007B7CCA">
      <w:pPr>
        <w:ind w:left="250" w:right="2284"/>
        <w:jc w:val="both"/>
        <w:rPr>
          <w:iCs/>
          <w:sz w:val="24"/>
          <w:szCs w:val="24"/>
        </w:rPr>
      </w:pPr>
      <w:r w:rsidRPr="002F4596">
        <w:rPr>
          <w:iCs/>
          <w:sz w:val="24"/>
          <w:szCs w:val="24"/>
        </w:rPr>
        <w:t>Çok seyrek: Trombositopeni</w:t>
      </w:r>
    </w:p>
    <w:p w14:paraId="0889350A" w14:textId="77777777" w:rsidR="00036214" w:rsidRPr="002F4596" w:rsidRDefault="00036214" w:rsidP="007B7CCA">
      <w:pPr>
        <w:ind w:left="250" w:right="2284"/>
        <w:jc w:val="both"/>
        <w:rPr>
          <w:b/>
          <w:bCs/>
          <w:iCs/>
          <w:sz w:val="24"/>
          <w:szCs w:val="24"/>
        </w:rPr>
      </w:pPr>
    </w:p>
    <w:p w14:paraId="3C299E9F" w14:textId="4E3C1C7B" w:rsidR="007F16C5" w:rsidRPr="002F4596" w:rsidRDefault="007F16C5" w:rsidP="007B7CCA">
      <w:pPr>
        <w:ind w:left="250" w:right="2284"/>
        <w:jc w:val="both"/>
        <w:rPr>
          <w:b/>
          <w:bCs/>
          <w:iCs/>
          <w:sz w:val="24"/>
          <w:szCs w:val="24"/>
        </w:rPr>
      </w:pPr>
      <w:r w:rsidRPr="002F4596">
        <w:rPr>
          <w:b/>
          <w:bCs/>
          <w:iCs/>
          <w:sz w:val="24"/>
          <w:szCs w:val="24"/>
        </w:rPr>
        <w:t>Bağışıklık sistemi hastalıkları:</w:t>
      </w:r>
    </w:p>
    <w:p w14:paraId="4E5C2FB6" w14:textId="33548E47" w:rsidR="007F16C5" w:rsidRPr="002F4596" w:rsidRDefault="007F16C5" w:rsidP="007B7CCA">
      <w:pPr>
        <w:ind w:left="250" w:right="2284"/>
        <w:jc w:val="both"/>
        <w:rPr>
          <w:iCs/>
          <w:sz w:val="24"/>
          <w:szCs w:val="24"/>
        </w:rPr>
      </w:pPr>
      <w:r w:rsidRPr="002F4596">
        <w:rPr>
          <w:iCs/>
          <w:sz w:val="24"/>
          <w:szCs w:val="24"/>
        </w:rPr>
        <w:t>Yaygın olmayan: Anafilaksiyi içeren aşırı duyarlılık reaksiyonu</w:t>
      </w:r>
    </w:p>
    <w:p w14:paraId="171F7172" w14:textId="1E71F09B" w:rsidR="007F16C5" w:rsidRPr="002F4596" w:rsidRDefault="007F16C5" w:rsidP="007B7CCA">
      <w:pPr>
        <w:ind w:left="250" w:right="2284"/>
        <w:jc w:val="both"/>
        <w:rPr>
          <w:iCs/>
          <w:sz w:val="24"/>
          <w:szCs w:val="24"/>
        </w:rPr>
      </w:pPr>
      <w:r w:rsidRPr="002F4596">
        <w:rPr>
          <w:iCs/>
          <w:sz w:val="24"/>
          <w:szCs w:val="24"/>
        </w:rPr>
        <w:t>Çok seyrek:</w:t>
      </w:r>
      <w:r w:rsidR="007B298A" w:rsidRPr="002F4596">
        <w:rPr>
          <w:iCs/>
          <w:sz w:val="24"/>
          <w:szCs w:val="24"/>
        </w:rPr>
        <w:t xml:space="preserve"> </w:t>
      </w:r>
      <w:r w:rsidR="00063B01" w:rsidRPr="002F4596">
        <w:rPr>
          <w:iCs/>
          <w:sz w:val="24"/>
          <w:szCs w:val="24"/>
        </w:rPr>
        <w:t>Hepatik</w:t>
      </w:r>
      <w:r w:rsidRPr="002F4596">
        <w:rPr>
          <w:iCs/>
          <w:sz w:val="24"/>
          <w:szCs w:val="24"/>
        </w:rPr>
        <w:t xml:space="preserve"> eozinofilik infiltrasyon</w:t>
      </w:r>
    </w:p>
    <w:p w14:paraId="38932ADF" w14:textId="77777777" w:rsidR="007F16C5" w:rsidRPr="002F4596" w:rsidRDefault="007F16C5" w:rsidP="007B7CCA">
      <w:pPr>
        <w:ind w:left="250" w:right="2284"/>
        <w:jc w:val="both"/>
        <w:rPr>
          <w:b/>
          <w:bCs/>
          <w:iCs/>
          <w:sz w:val="24"/>
          <w:szCs w:val="24"/>
        </w:rPr>
      </w:pPr>
    </w:p>
    <w:p w14:paraId="6118522C" w14:textId="77777777" w:rsidR="00902C50" w:rsidRPr="002F4596" w:rsidRDefault="007F16C5" w:rsidP="007B7CCA">
      <w:pPr>
        <w:ind w:left="250" w:right="2284"/>
        <w:jc w:val="both"/>
        <w:rPr>
          <w:b/>
          <w:bCs/>
          <w:iCs/>
          <w:sz w:val="24"/>
          <w:szCs w:val="24"/>
        </w:rPr>
      </w:pPr>
      <w:r w:rsidRPr="002F4596">
        <w:rPr>
          <w:b/>
          <w:bCs/>
          <w:iCs/>
          <w:sz w:val="24"/>
          <w:szCs w:val="24"/>
        </w:rPr>
        <w:t>Psikiyatrik hastalıklar:</w:t>
      </w:r>
    </w:p>
    <w:p w14:paraId="03437E83" w14:textId="10853393" w:rsidR="007F16C5" w:rsidRPr="002F4596" w:rsidRDefault="007F16C5" w:rsidP="007B7CCA">
      <w:pPr>
        <w:ind w:left="250" w:right="16"/>
        <w:jc w:val="both"/>
        <w:rPr>
          <w:iCs/>
          <w:sz w:val="24"/>
          <w:szCs w:val="24"/>
        </w:rPr>
      </w:pPr>
      <w:r w:rsidRPr="002F4596">
        <w:rPr>
          <w:iCs/>
          <w:sz w:val="24"/>
          <w:szCs w:val="24"/>
        </w:rPr>
        <w:t>Yaygın olmayan: Kabuslar dahil rüya anormallikleri, uykusuzluk, anksiyete, agresif davranış ya da düşmanlık içeren ajitasyon, depresyon, uyurgezerlik, psikomotor hiperaktivite (</w:t>
      </w:r>
      <w:proofErr w:type="spellStart"/>
      <w:r w:rsidRPr="002F4596">
        <w:rPr>
          <w:iCs/>
          <w:sz w:val="24"/>
          <w:szCs w:val="24"/>
        </w:rPr>
        <w:t>iritabilite</w:t>
      </w:r>
      <w:proofErr w:type="spellEnd"/>
      <w:r w:rsidRPr="002F4596">
        <w:rPr>
          <w:iCs/>
          <w:sz w:val="24"/>
          <w:szCs w:val="24"/>
        </w:rPr>
        <w:t>, huzursuzluk, tremor</w:t>
      </w:r>
      <w:r w:rsidR="00902C50" w:rsidRPr="002F4596">
        <w:rPr>
          <w:position w:val="8"/>
          <w:sz w:val="24"/>
          <w:szCs w:val="24"/>
        </w:rPr>
        <w:t>§</w:t>
      </w:r>
      <w:r w:rsidRPr="002F4596">
        <w:rPr>
          <w:iCs/>
          <w:sz w:val="24"/>
          <w:szCs w:val="24"/>
        </w:rPr>
        <w:t xml:space="preserve"> dahil)</w:t>
      </w:r>
    </w:p>
    <w:p w14:paraId="4162C094" w14:textId="7B96BF2B" w:rsidR="007F16C5" w:rsidRPr="002F4596" w:rsidRDefault="007F16C5" w:rsidP="007B7CCA">
      <w:pPr>
        <w:ind w:left="250" w:right="16"/>
        <w:jc w:val="both"/>
        <w:rPr>
          <w:iCs/>
          <w:sz w:val="24"/>
          <w:szCs w:val="24"/>
        </w:rPr>
      </w:pPr>
      <w:r w:rsidRPr="002F4596">
        <w:rPr>
          <w:iCs/>
          <w:sz w:val="24"/>
          <w:szCs w:val="24"/>
        </w:rPr>
        <w:t xml:space="preserve">Seyrek: Dikkat </w:t>
      </w:r>
      <w:proofErr w:type="spellStart"/>
      <w:proofErr w:type="gramStart"/>
      <w:r w:rsidRPr="002F4596">
        <w:rPr>
          <w:iCs/>
          <w:sz w:val="24"/>
          <w:szCs w:val="24"/>
        </w:rPr>
        <w:t>eksikliği,</w:t>
      </w:r>
      <w:r w:rsidR="00EE0CB1" w:rsidRPr="002F4596">
        <w:rPr>
          <w:iCs/>
          <w:sz w:val="24"/>
          <w:szCs w:val="24"/>
        </w:rPr>
        <w:t>bellek</w:t>
      </w:r>
      <w:proofErr w:type="spellEnd"/>
      <w:proofErr w:type="gramEnd"/>
      <w:r w:rsidR="00EE0CB1" w:rsidRPr="002F4596">
        <w:rPr>
          <w:iCs/>
          <w:sz w:val="24"/>
          <w:szCs w:val="24"/>
        </w:rPr>
        <w:t xml:space="preserve"> bozukluğu, tik</w:t>
      </w:r>
    </w:p>
    <w:p w14:paraId="1AEB8C9B" w14:textId="6DBADCC7" w:rsidR="007F16C5" w:rsidRPr="002F4596" w:rsidRDefault="007F16C5" w:rsidP="007B7CCA">
      <w:pPr>
        <w:ind w:left="250" w:right="16"/>
        <w:jc w:val="both"/>
        <w:rPr>
          <w:iCs/>
          <w:sz w:val="24"/>
          <w:szCs w:val="24"/>
        </w:rPr>
      </w:pPr>
      <w:r w:rsidRPr="002F4596">
        <w:rPr>
          <w:iCs/>
          <w:sz w:val="24"/>
          <w:szCs w:val="24"/>
        </w:rPr>
        <w:t>Çok seyrek: Halüsinasyonlar,</w:t>
      </w:r>
      <w:r w:rsidR="00EE0CB1" w:rsidRPr="002F4596">
        <w:rPr>
          <w:iCs/>
          <w:sz w:val="24"/>
          <w:szCs w:val="24"/>
        </w:rPr>
        <w:t xml:space="preserve"> oryantasyon bozukluğu,</w:t>
      </w:r>
      <w:r w:rsidRPr="002F4596">
        <w:rPr>
          <w:iCs/>
          <w:sz w:val="24"/>
          <w:szCs w:val="24"/>
        </w:rPr>
        <w:t xml:space="preserve"> intihar düşüncesi ve davranışı (intihar eğilimi), </w:t>
      </w:r>
      <w:r w:rsidR="00EE0CB1" w:rsidRPr="002F4596">
        <w:rPr>
          <w:iCs/>
          <w:sz w:val="24"/>
          <w:szCs w:val="24"/>
        </w:rPr>
        <w:t xml:space="preserve">obsesif kompulsif semptomlar, </w:t>
      </w:r>
      <w:proofErr w:type="spellStart"/>
      <w:r w:rsidR="00EE0CB1" w:rsidRPr="002F4596">
        <w:rPr>
          <w:iCs/>
          <w:sz w:val="24"/>
          <w:szCs w:val="24"/>
        </w:rPr>
        <w:t>disfemi</w:t>
      </w:r>
      <w:proofErr w:type="spellEnd"/>
    </w:p>
    <w:p w14:paraId="796AEE58" w14:textId="77777777" w:rsidR="002516CE" w:rsidRPr="002F4596" w:rsidRDefault="002516CE" w:rsidP="007B7CCA">
      <w:pPr>
        <w:ind w:left="250" w:right="5926"/>
        <w:jc w:val="both"/>
        <w:rPr>
          <w:b/>
          <w:sz w:val="24"/>
          <w:szCs w:val="24"/>
        </w:rPr>
      </w:pPr>
    </w:p>
    <w:p w14:paraId="099849B2" w14:textId="492A3B9D" w:rsidR="00CB2508" w:rsidRPr="002F4596" w:rsidRDefault="00A12CE4" w:rsidP="007B7CCA">
      <w:pPr>
        <w:ind w:left="250" w:right="5926"/>
        <w:jc w:val="both"/>
        <w:rPr>
          <w:strike/>
          <w:sz w:val="24"/>
          <w:szCs w:val="24"/>
        </w:rPr>
      </w:pPr>
      <w:r w:rsidRPr="002F4596">
        <w:rPr>
          <w:b/>
          <w:sz w:val="24"/>
          <w:szCs w:val="24"/>
        </w:rPr>
        <w:t xml:space="preserve">Sinir sistemi hastalıkları </w:t>
      </w:r>
    </w:p>
    <w:p w14:paraId="4DF567EE" w14:textId="21B0677F" w:rsidR="00902C50" w:rsidRPr="002F4596" w:rsidRDefault="00902C50" w:rsidP="007B7CCA">
      <w:pPr>
        <w:pStyle w:val="GvdeMetni"/>
        <w:jc w:val="both"/>
      </w:pPr>
      <w:r w:rsidRPr="002F4596">
        <w:t xml:space="preserve">Yaygın olmayan: Baş dönmesi, sersemlik, </w:t>
      </w:r>
      <w:proofErr w:type="spellStart"/>
      <w:r w:rsidRPr="002F4596">
        <w:t>parestezi</w:t>
      </w:r>
      <w:proofErr w:type="spellEnd"/>
      <w:r w:rsidRPr="002F4596">
        <w:t>/hipoestezi, nöbet.</w:t>
      </w:r>
    </w:p>
    <w:p w14:paraId="22D9DCAA" w14:textId="77777777" w:rsidR="00902C50" w:rsidRPr="002F4596" w:rsidRDefault="00902C50" w:rsidP="007B7CCA">
      <w:pPr>
        <w:pStyle w:val="GvdeMetni"/>
        <w:jc w:val="both"/>
      </w:pPr>
    </w:p>
    <w:p w14:paraId="7F1B366D" w14:textId="32CED517" w:rsidR="00902C50" w:rsidRPr="002F4596" w:rsidRDefault="00902C50" w:rsidP="007B7CCA">
      <w:pPr>
        <w:pStyle w:val="GvdeMetni"/>
        <w:jc w:val="both"/>
        <w:rPr>
          <w:b/>
          <w:bCs/>
        </w:rPr>
      </w:pPr>
      <w:r w:rsidRPr="002F4596">
        <w:rPr>
          <w:b/>
          <w:bCs/>
        </w:rPr>
        <w:t>Kardiyak hastalıklar:</w:t>
      </w:r>
    </w:p>
    <w:p w14:paraId="5A8CEFC3" w14:textId="5FDB70D2" w:rsidR="00902C50" w:rsidRPr="002F4596" w:rsidRDefault="00902C50" w:rsidP="007B7CCA">
      <w:pPr>
        <w:pStyle w:val="GvdeMetni"/>
        <w:jc w:val="both"/>
      </w:pPr>
      <w:r w:rsidRPr="002F4596">
        <w:t>Seyrek: Çarpıntı</w:t>
      </w:r>
    </w:p>
    <w:p w14:paraId="0800F8B0" w14:textId="77777777" w:rsidR="00902C50" w:rsidRPr="002F4596" w:rsidRDefault="00902C50" w:rsidP="007B7CCA">
      <w:pPr>
        <w:pStyle w:val="GvdeMetni"/>
        <w:spacing w:before="5"/>
        <w:ind w:left="0"/>
        <w:jc w:val="both"/>
      </w:pPr>
    </w:p>
    <w:p w14:paraId="3BFFBFCE" w14:textId="14283205" w:rsidR="00CB2508" w:rsidRPr="002F4596" w:rsidRDefault="00A12CE4" w:rsidP="007B7CCA">
      <w:pPr>
        <w:pStyle w:val="Balk1"/>
        <w:jc w:val="both"/>
      </w:pPr>
      <w:r w:rsidRPr="002F4596">
        <w:t xml:space="preserve">Solunum, göğüs </w:t>
      </w:r>
      <w:r w:rsidR="00063B01" w:rsidRPr="002F4596">
        <w:t xml:space="preserve">bozuklukları </w:t>
      </w:r>
      <w:r w:rsidRPr="002F4596">
        <w:t xml:space="preserve">ve mediastinal </w:t>
      </w:r>
      <w:r w:rsidR="00902C50" w:rsidRPr="002F4596">
        <w:t>hastalıklar:</w:t>
      </w:r>
    </w:p>
    <w:p w14:paraId="6A795F21" w14:textId="4475B8CB" w:rsidR="00902C50" w:rsidRPr="002F4596" w:rsidRDefault="00902C50" w:rsidP="007B7CCA">
      <w:pPr>
        <w:pStyle w:val="GvdeMetni"/>
        <w:spacing w:line="274" w:lineRule="exact"/>
        <w:jc w:val="both"/>
      </w:pPr>
      <w:r w:rsidRPr="002F4596">
        <w:t xml:space="preserve">Yaygın olmayan: </w:t>
      </w:r>
      <w:proofErr w:type="spellStart"/>
      <w:r w:rsidRPr="002F4596">
        <w:t>Epistaksis</w:t>
      </w:r>
      <w:proofErr w:type="spellEnd"/>
      <w:r w:rsidRPr="002F4596">
        <w:t>,</w:t>
      </w:r>
    </w:p>
    <w:p w14:paraId="56C39C26" w14:textId="1DB1EFD2" w:rsidR="00902C50" w:rsidRPr="002F4596" w:rsidRDefault="00902C50" w:rsidP="007B7CCA">
      <w:pPr>
        <w:pStyle w:val="GvdeMetni"/>
        <w:spacing w:line="274" w:lineRule="exact"/>
        <w:jc w:val="both"/>
      </w:pPr>
      <w:r w:rsidRPr="002F4596">
        <w:t xml:space="preserve">Çok seyrek: </w:t>
      </w:r>
      <w:proofErr w:type="spellStart"/>
      <w:r w:rsidRPr="002F4596">
        <w:t>Churg</w:t>
      </w:r>
      <w:proofErr w:type="spellEnd"/>
      <w:r w:rsidRPr="002F4596">
        <w:t xml:space="preserve">-Strauss Sendromu (CSS) (bkz. Bölüm 4.4), </w:t>
      </w:r>
      <w:proofErr w:type="spellStart"/>
      <w:r w:rsidRPr="002F4596">
        <w:t>pulmoner</w:t>
      </w:r>
      <w:proofErr w:type="spellEnd"/>
      <w:r w:rsidRPr="002F4596">
        <w:t xml:space="preserve"> eozinofili</w:t>
      </w:r>
    </w:p>
    <w:p w14:paraId="63FA8F96" w14:textId="77777777" w:rsidR="00CB2508" w:rsidRPr="002F4596" w:rsidRDefault="00CB2508" w:rsidP="007B7CCA">
      <w:pPr>
        <w:pStyle w:val="GvdeMetni"/>
        <w:spacing w:before="5"/>
        <w:ind w:left="0"/>
        <w:jc w:val="both"/>
      </w:pPr>
    </w:p>
    <w:p w14:paraId="3E867076" w14:textId="06DBAAEE" w:rsidR="00902C50" w:rsidRPr="002F4596" w:rsidRDefault="00A12CE4" w:rsidP="007B7CCA">
      <w:pPr>
        <w:pStyle w:val="Balk1"/>
        <w:jc w:val="both"/>
      </w:pPr>
      <w:proofErr w:type="spellStart"/>
      <w:r w:rsidRPr="002F4596">
        <w:t>Gastrointestinal</w:t>
      </w:r>
      <w:proofErr w:type="spellEnd"/>
      <w:r w:rsidRPr="002F4596">
        <w:t xml:space="preserve"> </w:t>
      </w:r>
      <w:r w:rsidR="00902C50" w:rsidRPr="002F4596">
        <w:t>hastalıklar:</w:t>
      </w:r>
    </w:p>
    <w:p w14:paraId="7685BC53" w14:textId="3DB5DDD8" w:rsidR="00902C50" w:rsidRPr="002F4596" w:rsidRDefault="00A12CE4" w:rsidP="007B7CCA">
      <w:pPr>
        <w:pStyle w:val="Balk1"/>
        <w:jc w:val="both"/>
        <w:rPr>
          <w:b w:val="0"/>
          <w:bCs w:val="0"/>
        </w:rPr>
      </w:pPr>
      <w:r w:rsidRPr="002F4596">
        <w:rPr>
          <w:b w:val="0"/>
          <w:bCs w:val="0"/>
        </w:rPr>
        <w:t xml:space="preserve">Yaygın: </w:t>
      </w:r>
      <w:r w:rsidR="00902C50" w:rsidRPr="002F4596">
        <w:rPr>
          <w:b w:val="0"/>
          <w:bCs w:val="0"/>
        </w:rPr>
        <w:t>Diyare</w:t>
      </w:r>
      <w:r w:rsidR="00902C50" w:rsidRPr="002F4596">
        <w:rPr>
          <w:b w:val="0"/>
          <w:bCs w:val="0"/>
          <w:position w:val="8"/>
        </w:rPr>
        <w:t>‡</w:t>
      </w:r>
      <w:r w:rsidR="00902C50" w:rsidRPr="002F4596">
        <w:rPr>
          <w:b w:val="0"/>
          <w:bCs w:val="0"/>
        </w:rPr>
        <w:t>, bulantı</w:t>
      </w:r>
      <w:r w:rsidR="00902C50" w:rsidRPr="002F4596">
        <w:rPr>
          <w:b w:val="0"/>
          <w:bCs w:val="0"/>
          <w:position w:val="8"/>
        </w:rPr>
        <w:t>‡</w:t>
      </w:r>
      <w:r w:rsidR="00902C50" w:rsidRPr="002F4596">
        <w:rPr>
          <w:b w:val="0"/>
          <w:bCs w:val="0"/>
        </w:rPr>
        <w:t>, kusma</w:t>
      </w:r>
      <w:r w:rsidR="00902C50" w:rsidRPr="002F4596">
        <w:rPr>
          <w:b w:val="0"/>
          <w:bCs w:val="0"/>
          <w:position w:val="8"/>
        </w:rPr>
        <w:t>‡</w:t>
      </w:r>
      <w:r w:rsidR="00902C50" w:rsidRPr="002F4596">
        <w:rPr>
          <w:b w:val="0"/>
          <w:bCs w:val="0"/>
        </w:rPr>
        <w:t xml:space="preserve">. </w:t>
      </w:r>
    </w:p>
    <w:p w14:paraId="65C4EABC" w14:textId="453B53F0" w:rsidR="00CB2508" w:rsidRPr="002F4596" w:rsidRDefault="00902C50" w:rsidP="007B7CCA">
      <w:pPr>
        <w:pStyle w:val="GvdeMetni"/>
        <w:spacing w:line="274" w:lineRule="exact"/>
        <w:jc w:val="both"/>
      </w:pPr>
      <w:r w:rsidRPr="002F4596">
        <w:t>Yaygın olmayan: Ağız kuruluğu, dispeps</w:t>
      </w:r>
      <w:r w:rsidR="00434817" w:rsidRPr="002F4596">
        <w:t>i</w:t>
      </w:r>
    </w:p>
    <w:p w14:paraId="50321023" w14:textId="77777777" w:rsidR="00434817" w:rsidRPr="002F4596" w:rsidRDefault="00434817" w:rsidP="007B7CCA">
      <w:pPr>
        <w:pStyle w:val="Balk1"/>
        <w:spacing w:before="1"/>
        <w:ind w:left="0"/>
        <w:jc w:val="both"/>
      </w:pPr>
    </w:p>
    <w:p w14:paraId="7D0A4543" w14:textId="258E8F97" w:rsidR="00434817" w:rsidRPr="002F4596" w:rsidRDefault="00434817" w:rsidP="007B7CCA">
      <w:pPr>
        <w:pStyle w:val="Balk1"/>
        <w:spacing w:before="1"/>
        <w:jc w:val="both"/>
      </w:pPr>
      <w:proofErr w:type="spellStart"/>
      <w:r w:rsidRPr="002F4596">
        <w:t>Hepatobiliyer</w:t>
      </w:r>
      <w:proofErr w:type="spellEnd"/>
      <w:r w:rsidRPr="002F4596">
        <w:t xml:space="preserve"> hastalıklar:</w:t>
      </w:r>
    </w:p>
    <w:p w14:paraId="276345F4" w14:textId="26DFC6F6" w:rsidR="00434817" w:rsidRPr="002F4596" w:rsidRDefault="00434817" w:rsidP="007B7CCA">
      <w:pPr>
        <w:pStyle w:val="Balk1"/>
        <w:spacing w:before="1"/>
        <w:jc w:val="both"/>
        <w:rPr>
          <w:b w:val="0"/>
          <w:bCs w:val="0"/>
        </w:rPr>
      </w:pPr>
      <w:r w:rsidRPr="002F4596">
        <w:rPr>
          <w:b w:val="0"/>
          <w:bCs w:val="0"/>
        </w:rPr>
        <w:t xml:space="preserve">Yaygın: Serum </w:t>
      </w:r>
      <w:proofErr w:type="spellStart"/>
      <w:r w:rsidRPr="002F4596">
        <w:rPr>
          <w:b w:val="0"/>
          <w:bCs w:val="0"/>
        </w:rPr>
        <w:t>transaminaz</w:t>
      </w:r>
      <w:proofErr w:type="spellEnd"/>
      <w:r w:rsidRPr="002F4596">
        <w:rPr>
          <w:b w:val="0"/>
          <w:bCs w:val="0"/>
        </w:rPr>
        <w:t xml:space="preserve"> (ALT, AST) seviyelerinde yükselme</w:t>
      </w:r>
    </w:p>
    <w:p w14:paraId="55A9E0B5" w14:textId="3B8C032B" w:rsidR="00063B01" w:rsidRPr="002F4596" w:rsidRDefault="00434817" w:rsidP="00063B01">
      <w:pPr>
        <w:pStyle w:val="Balk1"/>
        <w:spacing w:before="1"/>
        <w:jc w:val="both"/>
        <w:rPr>
          <w:b w:val="0"/>
          <w:bCs w:val="0"/>
        </w:rPr>
      </w:pPr>
      <w:r w:rsidRPr="002F4596">
        <w:rPr>
          <w:b w:val="0"/>
          <w:bCs w:val="0"/>
        </w:rPr>
        <w:t xml:space="preserve">Çok seyrek: </w:t>
      </w:r>
      <w:r w:rsidR="00063B01" w:rsidRPr="002F4596">
        <w:rPr>
          <w:b w:val="0"/>
          <w:bCs w:val="0"/>
        </w:rPr>
        <w:t>Hepatit (</w:t>
      </w:r>
      <w:proofErr w:type="spellStart"/>
      <w:r w:rsidR="00063B01" w:rsidRPr="002F4596">
        <w:rPr>
          <w:b w:val="0"/>
          <w:bCs w:val="0"/>
        </w:rPr>
        <w:t>kolestatik</w:t>
      </w:r>
      <w:proofErr w:type="spellEnd"/>
      <w:r w:rsidR="00063B01" w:rsidRPr="002F4596">
        <w:rPr>
          <w:b w:val="0"/>
          <w:bCs w:val="0"/>
        </w:rPr>
        <w:t xml:space="preserve">, hepatoselüler ve </w:t>
      </w:r>
      <w:proofErr w:type="spellStart"/>
      <w:r w:rsidR="00063B01" w:rsidRPr="002F4596">
        <w:rPr>
          <w:b w:val="0"/>
          <w:bCs w:val="0"/>
        </w:rPr>
        <w:t>mikst</w:t>
      </w:r>
      <w:proofErr w:type="spellEnd"/>
      <w:r w:rsidR="00063B01" w:rsidRPr="002F4596">
        <w:rPr>
          <w:b w:val="0"/>
          <w:bCs w:val="0"/>
        </w:rPr>
        <w:t xml:space="preserve"> tip karaciğer hasarı dahil)</w:t>
      </w:r>
    </w:p>
    <w:p w14:paraId="587ECBAD" w14:textId="77777777" w:rsidR="00434817" w:rsidRPr="002F4596" w:rsidRDefault="00434817" w:rsidP="007B7CCA">
      <w:pPr>
        <w:pStyle w:val="Balk1"/>
        <w:spacing w:before="1"/>
        <w:jc w:val="both"/>
      </w:pPr>
    </w:p>
    <w:p w14:paraId="5509C9F6" w14:textId="77777777" w:rsidR="00434817" w:rsidRPr="002F4596" w:rsidRDefault="00A12CE4" w:rsidP="007B7CCA">
      <w:pPr>
        <w:pStyle w:val="Balk1"/>
        <w:spacing w:before="1"/>
        <w:jc w:val="both"/>
      </w:pPr>
      <w:r w:rsidRPr="002F4596">
        <w:t>Deri ve deri altı doku hastalıkları</w:t>
      </w:r>
      <w:r w:rsidR="00434817" w:rsidRPr="002F4596">
        <w:t>:</w:t>
      </w:r>
    </w:p>
    <w:p w14:paraId="590806E7" w14:textId="3AE9598D" w:rsidR="00CB2508" w:rsidRPr="002F4596" w:rsidRDefault="00A12CE4" w:rsidP="007B7CCA">
      <w:pPr>
        <w:pStyle w:val="Balk1"/>
        <w:spacing w:before="1"/>
        <w:jc w:val="both"/>
        <w:rPr>
          <w:b w:val="0"/>
          <w:bCs w:val="0"/>
          <w:position w:val="8"/>
        </w:rPr>
      </w:pPr>
      <w:r w:rsidRPr="002F4596">
        <w:rPr>
          <w:b w:val="0"/>
          <w:bCs w:val="0"/>
        </w:rPr>
        <w:t xml:space="preserve">Yaygın: </w:t>
      </w:r>
      <w:proofErr w:type="spellStart"/>
      <w:r w:rsidR="00434817" w:rsidRPr="002F4596">
        <w:rPr>
          <w:b w:val="0"/>
          <w:bCs w:val="0"/>
        </w:rPr>
        <w:t>Döküntu</w:t>
      </w:r>
      <w:proofErr w:type="spellEnd"/>
      <w:r w:rsidR="00434817" w:rsidRPr="002F4596">
        <w:rPr>
          <w:b w:val="0"/>
          <w:bCs w:val="0"/>
        </w:rPr>
        <w:t>̈</w:t>
      </w:r>
      <w:r w:rsidR="00434817" w:rsidRPr="002F4596">
        <w:rPr>
          <w:b w:val="0"/>
          <w:bCs w:val="0"/>
          <w:position w:val="8"/>
        </w:rPr>
        <w:t>‡</w:t>
      </w:r>
    </w:p>
    <w:p w14:paraId="52033039" w14:textId="73484491" w:rsidR="00434817" w:rsidRPr="002F4596" w:rsidRDefault="00434817" w:rsidP="007B7CCA">
      <w:pPr>
        <w:pStyle w:val="Balk1"/>
        <w:spacing w:before="1"/>
        <w:jc w:val="both"/>
        <w:rPr>
          <w:b w:val="0"/>
          <w:bCs w:val="0"/>
        </w:rPr>
      </w:pPr>
      <w:r w:rsidRPr="002F4596">
        <w:rPr>
          <w:b w:val="0"/>
          <w:bCs w:val="0"/>
        </w:rPr>
        <w:t xml:space="preserve">Yaygın olmayan: Morluk, ürtiker, </w:t>
      </w:r>
      <w:proofErr w:type="spellStart"/>
      <w:r w:rsidRPr="002F4596">
        <w:rPr>
          <w:b w:val="0"/>
          <w:bCs w:val="0"/>
        </w:rPr>
        <w:t>prurit</w:t>
      </w:r>
      <w:proofErr w:type="spellEnd"/>
      <w:r w:rsidRPr="002F4596">
        <w:rPr>
          <w:b w:val="0"/>
          <w:bCs w:val="0"/>
        </w:rPr>
        <w:t>.</w:t>
      </w:r>
    </w:p>
    <w:p w14:paraId="3803435E" w14:textId="505BB84D" w:rsidR="00434817" w:rsidRPr="002F4596" w:rsidRDefault="00434817" w:rsidP="007B7CCA">
      <w:pPr>
        <w:pStyle w:val="Balk1"/>
        <w:spacing w:before="1"/>
        <w:jc w:val="both"/>
        <w:rPr>
          <w:b w:val="0"/>
          <w:bCs w:val="0"/>
        </w:rPr>
      </w:pPr>
      <w:r w:rsidRPr="002F4596">
        <w:rPr>
          <w:b w:val="0"/>
          <w:bCs w:val="0"/>
        </w:rPr>
        <w:t xml:space="preserve">Seyrek: </w:t>
      </w:r>
      <w:proofErr w:type="spellStart"/>
      <w:r w:rsidRPr="002F4596">
        <w:rPr>
          <w:b w:val="0"/>
          <w:bCs w:val="0"/>
        </w:rPr>
        <w:t>Anjiyoödem</w:t>
      </w:r>
      <w:proofErr w:type="spellEnd"/>
      <w:r w:rsidRPr="002F4596">
        <w:rPr>
          <w:b w:val="0"/>
          <w:bCs w:val="0"/>
        </w:rPr>
        <w:t>.</w:t>
      </w:r>
    </w:p>
    <w:p w14:paraId="2A6CD707" w14:textId="025DDC18" w:rsidR="00434817" w:rsidRPr="002F4596" w:rsidRDefault="00434817" w:rsidP="007B7CCA">
      <w:pPr>
        <w:pStyle w:val="Balk1"/>
        <w:spacing w:before="1"/>
        <w:jc w:val="both"/>
        <w:rPr>
          <w:b w:val="0"/>
          <w:bCs w:val="0"/>
          <w:position w:val="8"/>
        </w:rPr>
      </w:pPr>
      <w:r w:rsidRPr="002F4596">
        <w:rPr>
          <w:b w:val="0"/>
          <w:bCs w:val="0"/>
        </w:rPr>
        <w:t xml:space="preserve">Çok seyrek: Eritema </w:t>
      </w:r>
      <w:proofErr w:type="spellStart"/>
      <w:r w:rsidRPr="002F4596">
        <w:rPr>
          <w:b w:val="0"/>
          <w:bCs w:val="0"/>
        </w:rPr>
        <w:t>nodozum</w:t>
      </w:r>
      <w:proofErr w:type="spellEnd"/>
      <w:r w:rsidRPr="002F4596">
        <w:rPr>
          <w:b w:val="0"/>
          <w:bCs w:val="0"/>
        </w:rPr>
        <w:t xml:space="preserve">, eritema </w:t>
      </w:r>
      <w:proofErr w:type="spellStart"/>
      <w:r w:rsidRPr="002F4596">
        <w:rPr>
          <w:b w:val="0"/>
          <w:bCs w:val="0"/>
        </w:rPr>
        <w:t>multiforme</w:t>
      </w:r>
      <w:proofErr w:type="spellEnd"/>
      <w:r w:rsidRPr="002F4596">
        <w:rPr>
          <w:b w:val="0"/>
          <w:bCs w:val="0"/>
        </w:rPr>
        <w:t>.</w:t>
      </w:r>
    </w:p>
    <w:p w14:paraId="536A8307" w14:textId="2452709A" w:rsidR="00434817" w:rsidRDefault="00434817" w:rsidP="007B7CCA">
      <w:pPr>
        <w:pStyle w:val="Balk1"/>
        <w:spacing w:before="1"/>
        <w:jc w:val="both"/>
      </w:pPr>
    </w:p>
    <w:p w14:paraId="09B67EEB" w14:textId="77777777" w:rsidR="002F4596" w:rsidRPr="002F4596" w:rsidRDefault="002F4596" w:rsidP="007B7CCA">
      <w:pPr>
        <w:pStyle w:val="Balk1"/>
        <w:spacing w:before="1"/>
        <w:jc w:val="both"/>
      </w:pPr>
    </w:p>
    <w:p w14:paraId="23FDA755" w14:textId="77777777" w:rsidR="00CB2508" w:rsidRPr="002F4596" w:rsidRDefault="00A12CE4" w:rsidP="007B7CCA">
      <w:pPr>
        <w:pStyle w:val="Balk1"/>
        <w:jc w:val="both"/>
      </w:pPr>
      <w:r w:rsidRPr="002F4596">
        <w:t>Kas iskelet bozuklukları, bağ doku ve kemik hastalıkları</w:t>
      </w:r>
    </w:p>
    <w:p w14:paraId="6E645075" w14:textId="57081D99" w:rsidR="00434817" w:rsidRPr="002F4596" w:rsidRDefault="00434817" w:rsidP="007B7CCA">
      <w:pPr>
        <w:pStyle w:val="GvdeMetni"/>
        <w:spacing w:line="274" w:lineRule="exact"/>
        <w:jc w:val="both"/>
      </w:pPr>
      <w:r w:rsidRPr="002F4596">
        <w:t>Yaygın olmayan: Artralji, kas krampları dahil miyalji.</w:t>
      </w:r>
    </w:p>
    <w:p w14:paraId="5CE09BE6" w14:textId="635C84C0" w:rsidR="00CB2508" w:rsidRPr="002F4596" w:rsidRDefault="00916165" w:rsidP="007B7CCA">
      <w:pPr>
        <w:pStyle w:val="GvdeMetni"/>
        <w:spacing w:before="5"/>
        <w:ind w:left="0"/>
        <w:jc w:val="both"/>
      </w:pPr>
      <w:r w:rsidRPr="002F4596">
        <w:t xml:space="preserve">   </w:t>
      </w:r>
    </w:p>
    <w:p w14:paraId="45DB8DFE" w14:textId="77777777" w:rsidR="00916165" w:rsidRPr="002F4596" w:rsidRDefault="00916165" w:rsidP="007B7CCA">
      <w:pPr>
        <w:pStyle w:val="GvdeMetni"/>
        <w:spacing w:before="5"/>
        <w:ind w:left="0"/>
        <w:jc w:val="both"/>
        <w:rPr>
          <w:b/>
          <w:bCs/>
        </w:rPr>
      </w:pPr>
      <w:r w:rsidRPr="002F4596">
        <w:t xml:space="preserve">    </w:t>
      </w:r>
      <w:r w:rsidRPr="002F4596">
        <w:rPr>
          <w:b/>
          <w:bCs/>
        </w:rPr>
        <w:t xml:space="preserve">Böbrek ve idrar yolu hastalıkları </w:t>
      </w:r>
    </w:p>
    <w:p w14:paraId="78F0201A" w14:textId="4C221162" w:rsidR="00916165" w:rsidRPr="002F4596" w:rsidRDefault="00916165" w:rsidP="007B7CCA">
      <w:pPr>
        <w:pStyle w:val="GvdeMetni"/>
        <w:spacing w:before="5"/>
        <w:ind w:left="0"/>
        <w:jc w:val="both"/>
      </w:pPr>
      <w:r w:rsidRPr="002F4596">
        <w:t xml:space="preserve">    Yaygın olmayan: Çocuklarda </w:t>
      </w:r>
      <w:proofErr w:type="spellStart"/>
      <w:r w:rsidRPr="002F4596">
        <w:t>enürezis</w:t>
      </w:r>
      <w:proofErr w:type="spellEnd"/>
    </w:p>
    <w:p w14:paraId="29366267" w14:textId="77777777" w:rsidR="00916165" w:rsidRPr="002F4596" w:rsidRDefault="00916165" w:rsidP="007B7CCA">
      <w:pPr>
        <w:pStyle w:val="GvdeMetni"/>
        <w:spacing w:before="5"/>
        <w:ind w:left="0"/>
        <w:jc w:val="both"/>
      </w:pPr>
    </w:p>
    <w:p w14:paraId="7087D301" w14:textId="15A0AE1D" w:rsidR="00AF2540" w:rsidRPr="002F4596" w:rsidRDefault="00A12CE4" w:rsidP="007B7CCA">
      <w:pPr>
        <w:pStyle w:val="Balk1"/>
        <w:jc w:val="both"/>
      </w:pPr>
      <w:r w:rsidRPr="002F4596">
        <w:t xml:space="preserve">Genel bozukluklar ve uygulama bölgesine ilişkin </w:t>
      </w:r>
      <w:r w:rsidR="00434817" w:rsidRPr="002F4596">
        <w:t>hastalıklar:</w:t>
      </w:r>
    </w:p>
    <w:p w14:paraId="7BFC84D9" w14:textId="77777777" w:rsidR="00AF2540" w:rsidRPr="002F4596" w:rsidRDefault="00AF2540" w:rsidP="007B7CCA">
      <w:pPr>
        <w:pStyle w:val="Balk1"/>
        <w:jc w:val="both"/>
        <w:rPr>
          <w:b w:val="0"/>
          <w:bCs w:val="0"/>
          <w:vertAlign w:val="superscript"/>
        </w:rPr>
      </w:pPr>
      <w:r w:rsidRPr="002F4596">
        <w:rPr>
          <w:b w:val="0"/>
          <w:bCs w:val="0"/>
        </w:rPr>
        <w:t xml:space="preserve">Yaygın: </w:t>
      </w:r>
      <w:proofErr w:type="spellStart"/>
      <w:r w:rsidRPr="002F4596">
        <w:rPr>
          <w:b w:val="0"/>
          <w:bCs w:val="0"/>
        </w:rPr>
        <w:t>Pireksi</w:t>
      </w:r>
      <w:proofErr w:type="spellEnd"/>
      <w:r w:rsidRPr="002F4596">
        <w:rPr>
          <w:b w:val="0"/>
          <w:bCs w:val="0"/>
        </w:rPr>
        <w:t>‡</w:t>
      </w:r>
    </w:p>
    <w:p w14:paraId="05E1D7BC" w14:textId="6130D51F" w:rsidR="00FF6179" w:rsidRPr="002F4596" w:rsidRDefault="00AF2540" w:rsidP="007B7CCA">
      <w:pPr>
        <w:pStyle w:val="Balk1"/>
        <w:jc w:val="both"/>
        <w:rPr>
          <w:b w:val="0"/>
          <w:bCs w:val="0"/>
          <w:vertAlign w:val="superscript"/>
        </w:rPr>
      </w:pPr>
      <w:r w:rsidRPr="002F4596">
        <w:rPr>
          <w:b w:val="0"/>
          <w:bCs w:val="0"/>
        </w:rPr>
        <w:t xml:space="preserve">Yaygın olmayan: </w:t>
      </w:r>
      <w:proofErr w:type="spellStart"/>
      <w:r w:rsidR="00916165" w:rsidRPr="002F4596">
        <w:rPr>
          <w:b w:val="0"/>
          <w:bCs w:val="0"/>
        </w:rPr>
        <w:t>Asteni</w:t>
      </w:r>
      <w:proofErr w:type="spellEnd"/>
      <w:r w:rsidR="00916165" w:rsidRPr="002F4596">
        <w:rPr>
          <w:b w:val="0"/>
          <w:bCs w:val="0"/>
        </w:rPr>
        <w:t>/yorgunluk, kırgınlık</w:t>
      </w:r>
      <w:r w:rsidRPr="002F4596">
        <w:rPr>
          <w:b w:val="0"/>
          <w:bCs w:val="0"/>
        </w:rPr>
        <w:t xml:space="preserve">, </w:t>
      </w:r>
      <w:proofErr w:type="spellStart"/>
      <w:r w:rsidRPr="002F4596">
        <w:rPr>
          <w:b w:val="0"/>
          <w:bCs w:val="0"/>
        </w:rPr>
        <w:t>ödem</w:t>
      </w:r>
      <w:proofErr w:type="spellEnd"/>
      <w:r w:rsidRPr="002F4596">
        <w:rPr>
          <w:b w:val="0"/>
          <w:bCs w:val="0"/>
        </w:rPr>
        <w:t xml:space="preserve"> </w:t>
      </w:r>
    </w:p>
    <w:p w14:paraId="3CC11F3F" w14:textId="77777777" w:rsidR="00AF2540" w:rsidRPr="002F4596" w:rsidRDefault="00AF2540" w:rsidP="007B7CCA">
      <w:pPr>
        <w:pStyle w:val="NormalWeb"/>
        <w:ind w:left="284"/>
        <w:jc w:val="both"/>
      </w:pPr>
      <w:r w:rsidRPr="002F4596">
        <w:rPr>
          <w:position w:val="8"/>
        </w:rPr>
        <w:t>†</w:t>
      </w:r>
      <w:proofErr w:type="spellStart"/>
      <w:r w:rsidRPr="002F4596">
        <w:t>Montelukast</w:t>
      </w:r>
      <w:proofErr w:type="spellEnd"/>
      <w:r w:rsidRPr="002F4596">
        <w:t xml:space="preserve"> alan hastalarda </w:t>
      </w:r>
      <w:proofErr w:type="spellStart"/>
      <w:r w:rsidRPr="002F4596">
        <w:t>çok</w:t>
      </w:r>
      <w:proofErr w:type="spellEnd"/>
      <w:r w:rsidRPr="002F4596">
        <w:t xml:space="preserve"> yaygın olarak bildirilen bu istenmeyen olay, klinik </w:t>
      </w:r>
      <w:proofErr w:type="spellStart"/>
      <w:r w:rsidRPr="002F4596">
        <w:t>çalışmalarda</w:t>
      </w:r>
      <w:proofErr w:type="spellEnd"/>
      <w:r w:rsidRPr="002F4596">
        <w:t xml:space="preserve"> plasebo alan hastalarda da </w:t>
      </w:r>
      <w:proofErr w:type="spellStart"/>
      <w:r w:rsidRPr="002F4596">
        <w:t>çok</w:t>
      </w:r>
      <w:proofErr w:type="spellEnd"/>
      <w:r w:rsidRPr="002F4596">
        <w:t xml:space="preserve"> yaygın olarak </w:t>
      </w:r>
      <w:proofErr w:type="spellStart"/>
      <w:r w:rsidRPr="002F4596">
        <w:t>bildirilmiştir</w:t>
      </w:r>
      <w:proofErr w:type="spellEnd"/>
      <w:r w:rsidRPr="002F4596">
        <w:t xml:space="preserve">. </w:t>
      </w:r>
    </w:p>
    <w:p w14:paraId="5284E513" w14:textId="77777777" w:rsidR="00F84F80" w:rsidRPr="002F4596" w:rsidRDefault="00AF2540" w:rsidP="007B7CCA">
      <w:pPr>
        <w:pStyle w:val="NormalWeb"/>
        <w:ind w:left="284"/>
        <w:jc w:val="both"/>
      </w:pPr>
      <w:r w:rsidRPr="002F4596">
        <w:rPr>
          <w:position w:val="8"/>
        </w:rPr>
        <w:t>‡</w:t>
      </w:r>
      <w:proofErr w:type="spellStart"/>
      <w:r w:rsidRPr="002F4596">
        <w:t>Montelukast</w:t>
      </w:r>
      <w:proofErr w:type="spellEnd"/>
      <w:r w:rsidRPr="002F4596">
        <w:t xml:space="preserve"> alan hastalarda yaygın olarak bildirilen bu istenmeyen olay, klinik </w:t>
      </w:r>
      <w:proofErr w:type="spellStart"/>
      <w:r w:rsidRPr="002F4596">
        <w:t>çalışmalarda</w:t>
      </w:r>
      <w:proofErr w:type="spellEnd"/>
      <w:r w:rsidRPr="002F4596">
        <w:t xml:space="preserve"> plasebo alan hastalarda da yaygın olarak </w:t>
      </w:r>
      <w:proofErr w:type="spellStart"/>
      <w:r w:rsidRPr="002F4596">
        <w:t>bildirilmiştir</w:t>
      </w:r>
      <w:proofErr w:type="spellEnd"/>
      <w:r w:rsidRPr="002F4596">
        <w:t>.</w:t>
      </w:r>
    </w:p>
    <w:p w14:paraId="54274E9F" w14:textId="19AC6987" w:rsidR="00CB2508" w:rsidRPr="002F4596" w:rsidRDefault="00F84F80" w:rsidP="009D4A1E">
      <w:pPr>
        <w:pStyle w:val="NormalWeb"/>
        <w:ind w:left="284"/>
        <w:jc w:val="both"/>
      </w:pPr>
      <w:r w:rsidRPr="002F4596">
        <w:rPr>
          <w:position w:val="8"/>
        </w:rPr>
        <w:t>§</w:t>
      </w:r>
      <w:r w:rsidRPr="002F4596">
        <w:t xml:space="preserve">Sıklık kategorisi: Seyrek </w:t>
      </w:r>
    </w:p>
    <w:p w14:paraId="03001118" w14:textId="77777777" w:rsidR="00CB2508" w:rsidRPr="002F4596" w:rsidRDefault="00A12CE4" w:rsidP="007B7CCA">
      <w:pPr>
        <w:pStyle w:val="GvdeMetni"/>
        <w:jc w:val="both"/>
      </w:pPr>
      <w:r w:rsidRPr="002F4596">
        <w:rPr>
          <w:u w:val="single"/>
        </w:rPr>
        <w:t>Şüpheli advers reaksiyonların raporlanması</w:t>
      </w:r>
    </w:p>
    <w:p w14:paraId="349C6557" w14:textId="3D2F3FA1" w:rsidR="00CB2508" w:rsidRPr="002F4596" w:rsidRDefault="00A12CE4" w:rsidP="007B7CCA">
      <w:pPr>
        <w:pStyle w:val="GvdeMetni"/>
        <w:ind w:right="104"/>
        <w:jc w:val="both"/>
      </w:pPr>
      <w:r w:rsidRPr="002F4596">
        <w:t xml:space="preserve">Ruhsatlandırma sonrası şüpheli ilaç advers </w:t>
      </w:r>
      <w:r w:rsidR="00F84F80" w:rsidRPr="002F4596">
        <w:t>reaksiyonlarının</w:t>
      </w:r>
      <w:r w:rsidRPr="002F4596">
        <w:t xml:space="preserve"> raporlanması büyük önem taşımaktadır. Raporlama yapılması, ilacın yarar/risk dengesinin sürekli olarak izlenmesine olanak sağlar. Sağlık mesleği mensuplarının herhangi bir şüpheli advers reaksiyonu Türkiye Farmakovijilans Merkezi (TÜFAM)’ne bildirmeleri gerekmektedir. (</w:t>
      </w:r>
      <w:hyperlink r:id="rId7">
        <w:r w:rsidRPr="002F4596">
          <w:t>www.titck.gov.tr</w:t>
        </w:r>
      </w:hyperlink>
      <w:r w:rsidRPr="002F4596">
        <w:t>; e</w:t>
      </w:r>
      <w:r w:rsidR="00F84F80" w:rsidRPr="002F4596">
        <w:t>-</w:t>
      </w:r>
      <w:r w:rsidRPr="002F4596">
        <w:t xml:space="preserve">posta: </w:t>
      </w:r>
      <w:hyperlink r:id="rId8">
        <w:r w:rsidRPr="002F4596">
          <w:t>tufam@titck.gov.tr</w:t>
        </w:r>
      </w:hyperlink>
      <w:r w:rsidRPr="002F4596">
        <w:t>; tel: 0 800 314 0008 faks: 0 312 218 35 99)</w:t>
      </w:r>
    </w:p>
    <w:p w14:paraId="6EE8871B" w14:textId="77777777" w:rsidR="00CB2508" w:rsidRPr="002F4596" w:rsidRDefault="00CB2508" w:rsidP="007B7CCA">
      <w:pPr>
        <w:pStyle w:val="GvdeMetni"/>
        <w:spacing w:before="7"/>
        <w:ind w:left="0"/>
        <w:jc w:val="both"/>
      </w:pPr>
    </w:p>
    <w:p w14:paraId="6994191B" w14:textId="77777777" w:rsidR="00CB2508" w:rsidRPr="002F4596" w:rsidRDefault="00A12CE4" w:rsidP="007B7CCA">
      <w:pPr>
        <w:pStyle w:val="Balk1"/>
        <w:numPr>
          <w:ilvl w:val="1"/>
          <w:numId w:val="1"/>
        </w:numPr>
        <w:tabs>
          <w:tab w:val="left" w:pos="671"/>
        </w:tabs>
        <w:spacing w:before="90"/>
        <w:ind w:left="670" w:hanging="421"/>
        <w:jc w:val="both"/>
      </w:pPr>
      <w:r w:rsidRPr="002F4596">
        <w:t>Doz aşımı ve</w:t>
      </w:r>
      <w:r w:rsidRPr="002F4596">
        <w:rPr>
          <w:spacing w:val="-3"/>
        </w:rPr>
        <w:t xml:space="preserve"> </w:t>
      </w:r>
      <w:r w:rsidRPr="002F4596">
        <w:t>tedavisi</w:t>
      </w:r>
    </w:p>
    <w:p w14:paraId="71941C36" w14:textId="77777777" w:rsidR="00CB2508" w:rsidRPr="002F4596" w:rsidRDefault="00A12CE4" w:rsidP="007B7CCA">
      <w:pPr>
        <w:pStyle w:val="GvdeMetni"/>
        <w:spacing w:line="274" w:lineRule="exact"/>
        <w:jc w:val="both"/>
      </w:pPr>
      <w:r w:rsidRPr="002F4596">
        <w:t>MONDES ile henüz doz aşımı deneyimi yoktur.</w:t>
      </w:r>
    </w:p>
    <w:p w14:paraId="5A0B4A0A" w14:textId="77777777" w:rsidR="00CB2508" w:rsidRPr="002F4596" w:rsidRDefault="00CB2508" w:rsidP="007B7CCA">
      <w:pPr>
        <w:pStyle w:val="GvdeMetni"/>
        <w:ind w:left="0"/>
        <w:jc w:val="both"/>
      </w:pPr>
    </w:p>
    <w:p w14:paraId="7E243639" w14:textId="77777777" w:rsidR="00CB2508" w:rsidRPr="002F4596" w:rsidRDefault="00A12CE4" w:rsidP="007B7CCA">
      <w:pPr>
        <w:ind w:left="250"/>
        <w:jc w:val="both"/>
        <w:rPr>
          <w:i/>
          <w:sz w:val="24"/>
          <w:szCs w:val="24"/>
        </w:rPr>
      </w:pPr>
      <w:proofErr w:type="spellStart"/>
      <w:r w:rsidRPr="002F4596">
        <w:rPr>
          <w:i/>
          <w:sz w:val="24"/>
          <w:szCs w:val="24"/>
        </w:rPr>
        <w:t>Desloratadin</w:t>
      </w:r>
      <w:proofErr w:type="spellEnd"/>
    </w:p>
    <w:p w14:paraId="53D4F4F9" w14:textId="77777777" w:rsidR="00F32CA1" w:rsidRPr="002F4596" w:rsidRDefault="00916165" w:rsidP="007B7CCA">
      <w:pPr>
        <w:ind w:left="250"/>
        <w:jc w:val="both"/>
        <w:rPr>
          <w:iCs/>
          <w:sz w:val="24"/>
          <w:szCs w:val="24"/>
        </w:rPr>
      </w:pPr>
      <w:r w:rsidRPr="002F4596">
        <w:rPr>
          <w:iCs/>
          <w:sz w:val="24"/>
          <w:szCs w:val="24"/>
        </w:rPr>
        <w:t xml:space="preserve">Pazarlama sonrası kullanım sırasında görüldüğü gibi aşırı doza bağlı olumsuz olay profili, terapötik dozlarda görülenlere </w:t>
      </w:r>
      <w:proofErr w:type="gramStart"/>
      <w:r w:rsidRPr="002F4596">
        <w:rPr>
          <w:iCs/>
          <w:sz w:val="24"/>
          <w:szCs w:val="24"/>
        </w:rPr>
        <w:t>benzerdir ,</w:t>
      </w:r>
      <w:proofErr w:type="gramEnd"/>
      <w:r w:rsidRPr="002F4596">
        <w:rPr>
          <w:iCs/>
          <w:sz w:val="24"/>
          <w:szCs w:val="24"/>
        </w:rPr>
        <w:t xml:space="preserve"> ancak etkilerin büyüklüğü daha fazla olabilir. </w:t>
      </w:r>
    </w:p>
    <w:p w14:paraId="0882A1A4" w14:textId="77777777" w:rsidR="00F32CA1" w:rsidRPr="002F4596" w:rsidRDefault="00F32CA1" w:rsidP="007B7CCA">
      <w:pPr>
        <w:ind w:left="250"/>
        <w:jc w:val="both"/>
        <w:rPr>
          <w:iCs/>
          <w:sz w:val="24"/>
          <w:szCs w:val="24"/>
        </w:rPr>
      </w:pPr>
    </w:p>
    <w:p w14:paraId="5C81D2C6" w14:textId="2BC6E66D" w:rsidR="00916165" w:rsidRPr="002F4596" w:rsidRDefault="00916165" w:rsidP="007B7CCA">
      <w:pPr>
        <w:ind w:left="250"/>
        <w:jc w:val="both"/>
        <w:rPr>
          <w:iCs/>
          <w:sz w:val="24"/>
          <w:szCs w:val="24"/>
        </w:rPr>
      </w:pPr>
      <w:r w:rsidRPr="002F4596">
        <w:rPr>
          <w:iCs/>
          <w:sz w:val="24"/>
          <w:szCs w:val="24"/>
        </w:rPr>
        <w:t>Tedavi:</w:t>
      </w:r>
    </w:p>
    <w:p w14:paraId="12DDB2BD" w14:textId="6B7C7920" w:rsidR="00F84F80" w:rsidRPr="002F4596" w:rsidRDefault="00F84F80" w:rsidP="007B7CCA">
      <w:pPr>
        <w:pStyle w:val="GvdeMetni"/>
        <w:ind w:right="105"/>
        <w:jc w:val="both"/>
      </w:pPr>
      <w:r w:rsidRPr="002F4596">
        <w:t>Doz aşımı durumunda</w:t>
      </w:r>
      <w:r w:rsidR="00A12CE4" w:rsidRPr="002F4596">
        <w:t xml:space="preserve">, </w:t>
      </w:r>
      <w:proofErr w:type="spellStart"/>
      <w:r w:rsidR="00A12CE4" w:rsidRPr="002F4596">
        <w:t>absorbe</w:t>
      </w:r>
      <w:proofErr w:type="spellEnd"/>
      <w:r w:rsidR="00A12CE4" w:rsidRPr="002F4596">
        <w:t xml:space="preserve"> edilmemiş etken maddeyi uzaklaştıracak standart önlemler </w:t>
      </w:r>
      <w:r w:rsidRPr="002F4596">
        <w:t xml:space="preserve">alınmalıdır. Semptomatik </w:t>
      </w:r>
      <w:r w:rsidR="00A12CE4" w:rsidRPr="002F4596">
        <w:t xml:space="preserve">ve destekleyici tedavi </w:t>
      </w:r>
      <w:r w:rsidRPr="002F4596">
        <w:t>önerilir</w:t>
      </w:r>
      <w:r w:rsidR="00A12CE4" w:rsidRPr="002F4596">
        <w:t>.</w:t>
      </w:r>
    </w:p>
    <w:p w14:paraId="5A6C1F7B" w14:textId="77777777" w:rsidR="00F84F80" w:rsidRPr="002F4596" w:rsidRDefault="00F84F80" w:rsidP="009D4A1E">
      <w:pPr>
        <w:pStyle w:val="GvdeMetni"/>
        <w:ind w:left="284" w:right="105"/>
        <w:jc w:val="both"/>
      </w:pPr>
    </w:p>
    <w:p w14:paraId="4E412BAE" w14:textId="5E1EB0A9" w:rsidR="00CB2508" w:rsidRPr="002F4596" w:rsidRDefault="00A12CE4" w:rsidP="009D4A1E">
      <w:pPr>
        <w:pStyle w:val="GvdeMetni"/>
        <w:ind w:left="284" w:right="105"/>
        <w:jc w:val="both"/>
      </w:pPr>
      <w:r w:rsidRPr="002F4596">
        <w:t xml:space="preserve">Erişkinler ve adolesanlarda 45 mg'a kadar (klinik dozun 9 katı) </w:t>
      </w:r>
      <w:proofErr w:type="spellStart"/>
      <w:r w:rsidRPr="002F4596">
        <w:t>desloratadin</w:t>
      </w:r>
      <w:proofErr w:type="spellEnd"/>
      <w:r w:rsidRPr="002F4596">
        <w:t xml:space="preserve"> uygulanan çok dozlu bir klinik araştırmada, ciddi herhangi bir etki gözlenmemiştir.</w:t>
      </w:r>
    </w:p>
    <w:p w14:paraId="0E5135B5" w14:textId="77777777" w:rsidR="00F84F80" w:rsidRPr="002F4596" w:rsidRDefault="00F84F80" w:rsidP="009D4A1E">
      <w:pPr>
        <w:pStyle w:val="GvdeMetni"/>
        <w:ind w:left="284" w:right="105"/>
        <w:jc w:val="both"/>
      </w:pPr>
    </w:p>
    <w:p w14:paraId="6535FEC5" w14:textId="13A0D6E3" w:rsidR="00CB2508" w:rsidRPr="002F4596" w:rsidRDefault="00A12CE4" w:rsidP="009D4A1E">
      <w:pPr>
        <w:pStyle w:val="GvdeMetni"/>
        <w:spacing w:before="1"/>
        <w:ind w:left="284"/>
        <w:jc w:val="both"/>
      </w:pPr>
      <w:proofErr w:type="spellStart"/>
      <w:r w:rsidRPr="002F4596">
        <w:t>Desloratadin</w:t>
      </w:r>
      <w:proofErr w:type="spellEnd"/>
      <w:r w:rsidRPr="002F4596">
        <w:t xml:space="preserve"> hemodiyaliz ile elimine edilmemektedir; periton diyalizi </w:t>
      </w:r>
      <w:r w:rsidR="00F84F80" w:rsidRPr="002F4596">
        <w:t xml:space="preserve">ile </w:t>
      </w:r>
      <w:r w:rsidRPr="002F4596">
        <w:t>elimine olup</w:t>
      </w:r>
      <w:r w:rsidR="00224739" w:rsidRPr="002F4596">
        <w:t xml:space="preserve"> </w:t>
      </w:r>
      <w:r w:rsidRPr="002F4596">
        <w:t>olmadığı bilinmemektedir.</w:t>
      </w:r>
    </w:p>
    <w:p w14:paraId="3D1F2A4A" w14:textId="2D611F00" w:rsidR="00916165" w:rsidRPr="002F4596" w:rsidRDefault="00916165" w:rsidP="009D4A1E">
      <w:pPr>
        <w:ind w:left="284"/>
        <w:jc w:val="both"/>
        <w:rPr>
          <w:sz w:val="24"/>
          <w:szCs w:val="24"/>
          <w:u w:val="single"/>
        </w:rPr>
      </w:pPr>
      <w:r w:rsidRPr="002F4596">
        <w:rPr>
          <w:sz w:val="24"/>
          <w:szCs w:val="24"/>
          <w:u w:val="single"/>
        </w:rPr>
        <w:t xml:space="preserve"> Semptomlar </w:t>
      </w:r>
    </w:p>
    <w:p w14:paraId="41008FE0" w14:textId="500E408C" w:rsidR="00916165" w:rsidRPr="002F4596" w:rsidRDefault="00916165" w:rsidP="009D4A1E">
      <w:pPr>
        <w:ind w:left="284"/>
        <w:jc w:val="both"/>
        <w:rPr>
          <w:sz w:val="24"/>
          <w:szCs w:val="24"/>
        </w:rPr>
      </w:pPr>
      <w:r w:rsidRPr="002F4596">
        <w:rPr>
          <w:sz w:val="24"/>
          <w:szCs w:val="24"/>
        </w:rPr>
        <w:t xml:space="preserve"> Erişkinler ve adolesanlarda 45 mg'a kadar (klinik dozun 9 katı) </w:t>
      </w:r>
      <w:proofErr w:type="spellStart"/>
      <w:r w:rsidRPr="002F4596">
        <w:rPr>
          <w:sz w:val="24"/>
          <w:szCs w:val="24"/>
        </w:rPr>
        <w:t>desloratadin</w:t>
      </w:r>
      <w:proofErr w:type="spellEnd"/>
      <w:r w:rsidRPr="002F4596">
        <w:rPr>
          <w:sz w:val="24"/>
          <w:szCs w:val="24"/>
        </w:rPr>
        <w:t xml:space="preserve"> uygulanan çok    dozlu bir klinik araştırmada, klinik olarak önemli herhangi bir etki gözlenmemiştir. </w:t>
      </w:r>
    </w:p>
    <w:p w14:paraId="353C84D4" w14:textId="77777777" w:rsidR="00916165" w:rsidRPr="002F4596" w:rsidRDefault="00916165" w:rsidP="009D4A1E">
      <w:pPr>
        <w:ind w:left="284"/>
        <w:jc w:val="both"/>
        <w:rPr>
          <w:sz w:val="24"/>
          <w:szCs w:val="24"/>
        </w:rPr>
      </w:pPr>
    </w:p>
    <w:p w14:paraId="03B48BB3" w14:textId="1CE3E27E" w:rsidR="00916165" w:rsidRPr="002F4596" w:rsidRDefault="00916165" w:rsidP="009D4A1E">
      <w:pPr>
        <w:ind w:left="284"/>
        <w:jc w:val="both"/>
        <w:rPr>
          <w:sz w:val="24"/>
          <w:szCs w:val="24"/>
          <w:u w:val="single"/>
        </w:rPr>
      </w:pPr>
      <w:r w:rsidRPr="002F4596">
        <w:rPr>
          <w:sz w:val="24"/>
          <w:szCs w:val="24"/>
        </w:rPr>
        <w:t xml:space="preserve"> </w:t>
      </w:r>
      <w:r w:rsidRPr="002F4596">
        <w:rPr>
          <w:sz w:val="24"/>
          <w:szCs w:val="24"/>
          <w:u w:val="single"/>
        </w:rPr>
        <w:t xml:space="preserve">Pediyatrik popülasyon </w:t>
      </w:r>
    </w:p>
    <w:p w14:paraId="57DB2075" w14:textId="6DC09B8B" w:rsidR="00A37D91" w:rsidRPr="002F4596" w:rsidRDefault="00916165" w:rsidP="009D4A1E">
      <w:pPr>
        <w:ind w:left="284"/>
        <w:jc w:val="both"/>
        <w:rPr>
          <w:sz w:val="24"/>
          <w:szCs w:val="24"/>
        </w:rPr>
      </w:pPr>
      <w:r w:rsidRPr="002F4596">
        <w:rPr>
          <w:sz w:val="24"/>
          <w:szCs w:val="24"/>
        </w:rPr>
        <w:t>Pazarlama sonrası kullanım sırasında görüldüğü gibi aşırı doza bağlı olumsuz olay profili, terapötik dozlarda görülenlere benzerdir, ancak etkilerin büyüklüğü daha fazla olabilir.</w:t>
      </w:r>
    </w:p>
    <w:p w14:paraId="40DB8460" w14:textId="77777777" w:rsidR="00F32CA1" w:rsidRPr="002F4596" w:rsidRDefault="00F32CA1" w:rsidP="009D4A1E">
      <w:pPr>
        <w:ind w:left="284"/>
        <w:jc w:val="both"/>
        <w:rPr>
          <w:sz w:val="24"/>
          <w:szCs w:val="24"/>
        </w:rPr>
      </w:pPr>
    </w:p>
    <w:p w14:paraId="19DB9493" w14:textId="77777777" w:rsidR="00CB2508" w:rsidRPr="002F4596" w:rsidRDefault="00A12CE4" w:rsidP="00916165">
      <w:pPr>
        <w:spacing w:before="76"/>
        <w:ind w:left="284"/>
        <w:jc w:val="both"/>
        <w:rPr>
          <w:i/>
          <w:sz w:val="24"/>
          <w:szCs w:val="24"/>
        </w:rPr>
      </w:pPr>
      <w:proofErr w:type="spellStart"/>
      <w:r w:rsidRPr="002F4596">
        <w:rPr>
          <w:i/>
          <w:sz w:val="24"/>
          <w:szCs w:val="24"/>
        </w:rPr>
        <w:t>Montelukast</w:t>
      </w:r>
      <w:proofErr w:type="spellEnd"/>
    </w:p>
    <w:p w14:paraId="40CD2E80" w14:textId="22852BB3" w:rsidR="006673E2" w:rsidRPr="002F4596" w:rsidRDefault="00A12CE4" w:rsidP="00916165">
      <w:pPr>
        <w:pStyle w:val="GvdeMetni"/>
        <w:ind w:left="284" w:right="141"/>
        <w:jc w:val="both"/>
      </w:pPr>
      <w:proofErr w:type="spellStart"/>
      <w:r w:rsidRPr="002F4596">
        <w:lastRenderedPageBreak/>
        <w:t>Montelukast</w:t>
      </w:r>
      <w:proofErr w:type="spellEnd"/>
      <w:r w:rsidRPr="002F4596">
        <w:t xml:space="preserve"> doz </w:t>
      </w:r>
      <w:r w:rsidR="008D59DB" w:rsidRPr="002F4596">
        <w:t xml:space="preserve">aşımının tedavisiyle ilgili </w:t>
      </w:r>
      <w:r w:rsidRPr="002F4596">
        <w:t xml:space="preserve">spesifik bilgi yoktur. Kronik astım çalışmalarında 22 hafta süreyle günde 200 mg'a kadar olan dozlarda </w:t>
      </w:r>
      <w:proofErr w:type="spellStart"/>
      <w:r w:rsidRPr="002F4596">
        <w:t>montelukast</w:t>
      </w:r>
      <w:proofErr w:type="spellEnd"/>
      <w:r w:rsidRPr="002F4596">
        <w:t xml:space="preserve"> ve kısa süreli </w:t>
      </w:r>
      <w:r w:rsidR="008D59DB" w:rsidRPr="002F4596">
        <w:t xml:space="preserve">çalışmalarda </w:t>
      </w:r>
      <w:r w:rsidRPr="002F4596">
        <w:t xml:space="preserve">yaklaşık 1 hafta süreyle günde 900 mg'a kadar </w:t>
      </w:r>
      <w:r w:rsidR="006673E2" w:rsidRPr="002F4596">
        <w:t xml:space="preserve">dozlarda uygulanmış ve </w:t>
      </w:r>
      <w:r w:rsidRPr="002F4596">
        <w:t xml:space="preserve">klinik </w:t>
      </w:r>
      <w:r w:rsidR="006673E2" w:rsidRPr="002F4596">
        <w:t>yönden önemli</w:t>
      </w:r>
      <w:r w:rsidRPr="002F4596">
        <w:t xml:space="preserve"> istenmeyen </w:t>
      </w:r>
      <w:r w:rsidR="006673E2" w:rsidRPr="002F4596">
        <w:t>olaylarla karşılaşılmamıştır.</w:t>
      </w:r>
    </w:p>
    <w:p w14:paraId="6540DE2C" w14:textId="77777777" w:rsidR="006673E2" w:rsidRPr="002F4596" w:rsidRDefault="006673E2" w:rsidP="007B7CCA">
      <w:pPr>
        <w:pStyle w:val="GvdeMetni"/>
        <w:ind w:right="141"/>
        <w:jc w:val="both"/>
      </w:pPr>
    </w:p>
    <w:p w14:paraId="17DF9C41" w14:textId="07020DBE" w:rsidR="00CB2508" w:rsidRPr="002F4596" w:rsidRDefault="00A12CE4" w:rsidP="007B7CCA">
      <w:pPr>
        <w:pStyle w:val="GvdeMetni"/>
        <w:ind w:right="141"/>
        <w:jc w:val="both"/>
      </w:pPr>
      <w:r w:rsidRPr="002F4596">
        <w:t xml:space="preserve">Pazarlama sonrası deneyimde ve </w:t>
      </w:r>
      <w:proofErr w:type="spellStart"/>
      <w:r w:rsidR="006673E2" w:rsidRPr="002F4596">
        <w:t>montelukast</w:t>
      </w:r>
      <w:proofErr w:type="spellEnd"/>
      <w:r w:rsidR="006673E2" w:rsidRPr="002F4596">
        <w:t xml:space="preserve"> ile yapılan </w:t>
      </w:r>
      <w:r w:rsidRPr="002F4596">
        <w:t>klinik</w:t>
      </w:r>
      <w:r w:rsidR="00063B01" w:rsidRPr="002F4596">
        <w:t xml:space="preserve"> çalışmalarda</w:t>
      </w:r>
      <w:r w:rsidRPr="002F4596">
        <w:t xml:space="preserve"> akut doz aşımı </w:t>
      </w:r>
      <w:r w:rsidR="006673E2" w:rsidRPr="002F4596">
        <w:t xml:space="preserve">bildirimleri yapılmıştır. Bunlar erişkinlerde ve çocuklarda 1000 mg kadar yüksek dozları bildiren raporları içermektedir (42 aylık bir çocukta yaklaşık 61 mg/kg). Gözlenen klinik ve laboratuvar </w:t>
      </w:r>
      <w:r w:rsidRPr="002F4596">
        <w:t xml:space="preserve">bulguları </w:t>
      </w:r>
      <w:r w:rsidR="006673E2" w:rsidRPr="002F4596">
        <w:t xml:space="preserve">erişkin ve </w:t>
      </w:r>
      <w:r w:rsidRPr="002F4596">
        <w:t xml:space="preserve">pediyatrik </w:t>
      </w:r>
      <w:r w:rsidR="006673E2" w:rsidRPr="002F4596">
        <w:t>hastalardaki güvenlilik profiliyle uyumludur. Doz aşımı</w:t>
      </w:r>
      <w:r w:rsidR="003410E9" w:rsidRPr="002F4596">
        <w:t xml:space="preserve"> raporlarının büyük kısmında hiçbir</w:t>
      </w:r>
      <w:r w:rsidR="006673E2" w:rsidRPr="002F4596">
        <w:t xml:space="preserve"> </w:t>
      </w:r>
      <w:r w:rsidRPr="002F4596">
        <w:t xml:space="preserve">istenmeyen </w:t>
      </w:r>
      <w:r w:rsidR="003410E9" w:rsidRPr="002F4596">
        <w:t xml:space="preserve">olay yoktur. </w:t>
      </w:r>
      <w:r w:rsidRPr="002F4596">
        <w:t xml:space="preserve">En sık </w:t>
      </w:r>
      <w:r w:rsidR="003410E9" w:rsidRPr="002F4596">
        <w:t xml:space="preserve">görülen </w:t>
      </w:r>
      <w:r w:rsidRPr="002F4596">
        <w:t xml:space="preserve">istenmeyen </w:t>
      </w:r>
      <w:r w:rsidR="003410E9" w:rsidRPr="002F4596">
        <w:t xml:space="preserve">olaylar; </w:t>
      </w:r>
      <w:proofErr w:type="spellStart"/>
      <w:r w:rsidR="003410E9" w:rsidRPr="002F4596">
        <w:t>montelukastın</w:t>
      </w:r>
      <w:proofErr w:type="spellEnd"/>
      <w:r w:rsidR="003410E9" w:rsidRPr="002F4596">
        <w:t xml:space="preserve"> güvenlilik profiliyle uyumludur ve abdominal ağrı,</w:t>
      </w:r>
      <w:r w:rsidR="007B298A" w:rsidRPr="002F4596">
        <w:t xml:space="preserve"> </w:t>
      </w:r>
      <w:r w:rsidR="003410E9" w:rsidRPr="002F4596">
        <w:t xml:space="preserve">uyku hali, susama, baş </w:t>
      </w:r>
      <w:r w:rsidRPr="002F4596">
        <w:t>ağrısı</w:t>
      </w:r>
      <w:r w:rsidR="003410E9" w:rsidRPr="002F4596">
        <w:t>,</w:t>
      </w:r>
      <w:r w:rsidRPr="002F4596">
        <w:t xml:space="preserve"> </w:t>
      </w:r>
      <w:r w:rsidR="003410E9" w:rsidRPr="002F4596">
        <w:t xml:space="preserve">kusma ve psikomotor hiperaktivitedir. </w:t>
      </w:r>
    </w:p>
    <w:p w14:paraId="3586C57D" w14:textId="77777777" w:rsidR="003410E9" w:rsidRPr="002F4596" w:rsidRDefault="003410E9" w:rsidP="007B7CCA">
      <w:pPr>
        <w:pStyle w:val="GvdeMetni"/>
        <w:jc w:val="both"/>
      </w:pPr>
    </w:p>
    <w:p w14:paraId="7FAC6DAC" w14:textId="45D2EA00" w:rsidR="00CB2508" w:rsidRPr="002F4596" w:rsidRDefault="00A12CE4" w:rsidP="007B7CCA">
      <w:pPr>
        <w:pStyle w:val="GvdeMetni"/>
        <w:jc w:val="both"/>
      </w:pPr>
      <w:proofErr w:type="spellStart"/>
      <w:r w:rsidRPr="002F4596">
        <w:t>Montelukastın</w:t>
      </w:r>
      <w:proofErr w:type="spellEnd"/>
      <w:r w:rsidRPr="002F4596">
        <w:t xml:space="preserve"> </w:t>
      </w:r>
      <w:proofErr w:type="spellStart"/>
      <w:r w:rsidRPr="002F4596">
        <w:t>peritoneal</w:t>
      </w:r>
      <w:proofErr w:type="spellEnd"/>
      <w:r w:rsidRPr="002F4596">
        <w:t xml:space="preserve"> </w:t>
      </w:r>
      <w:r w:rsidR="003410E9" w:rsidRPr="002F4596">
        <w:t>diyalizi veya hemodiyalizle uzaklaştırılabildiğine ilişkin bilgi yoktur</w:t>
      </w:r>
      <w:r w:rsidR="002B5EC4" w:rsidRPr="002F4596">
        <w:t>.</w:t>
      </w:r>
      <w:r w:rsidR="003410E9" w:rsidRPr="002F4596">
        <w:t xml:space="preserve"> </w:t>
      </w:r>
    </w:p>
    <w:p w14:paraId="14F84D8F" w14:textId="77777777" w:rsidR="00CB2508" w:rsidRPr="002F4596" w:rsidRDefault="00CB2508" w:rsidP="007B7CCA">
      <w:pPr>
        <w:pStyle w:val="GvdeMetni"/>
        <w:spacing w:before="5"/>
        <w:ind w:left="0"/>
        <w:jc w:val="both"/>
      </w:pPr>
    </w:p>
    <w:p w14:paraId="14C413FC" w14:textId="77777777" w:rsidR="00CB2508" w:rsidRPr="002F4596" w:rsidRDefault="00A12CE4" w:rsidP="007B7CCA">
      <w:pPr>
        <w:pStyle w:val="Balk1"/>
        <w:numPr>
          <w:ilvl w:val="0"/>
          <w:numId w:val="2"/>
        </w:numPr>
        <w:tabs>
          <w:tab w:val="left" w:pos="491"/>
        </w:tabs>
        <w:spacing w:line="240" w:lineRule="auto"/>
        <w:ind w:left="490" w:hanging="241"/>
        <w:jc w:val="both"/>
      </w:pPr>
      <w:r w:rsidRPr="002F4596">
        <w:t>FARMAKOLOJİK</w:t>
      </w:r>
      <w:r w:rsidRPr="002F4596">
        <w:rPr>
          <w:spacing w:val="-1"/>
        </w:rPr>
        <w:t xml:space="preserve"> </w:t>
      </w:r>
      <w:r w:rsidRPr="002F4596">
        <w:t>ÖZELLİKLER</w:t>
      </w:r>
    </w:p>
    <w:p w14:paraId="413F6464" w14:textId="77777777" w:rsidR="00CB2508" w:rsidRPr="002F4596" w:rsidRDefault="00CB2508" w:rsidP="007B7CCA">
      <w:pPr>
        <w:pStyle w:val="GvdeMetni"/>
        <w:ind w:left="0"/>
        <w:jc w:val="both"/>
        <w:rPr>
          <w:b/>
        </w:rPr>
      </w:pPr>
    </w:p>
    <w:p w14:paraId="37FB32DC" w14:textId="77777777" w:rsidR="00CB2508" w:rsidRPr="002F4596" w:rsidRDefault="00A12CE4" w:rsidP="007B7CCA">
      <w:pPr>
        <w:pStyle w:val="ListeParagraf"/>
        <w:numPr>
          <w:ilvl w:val="1"/>
          <w:numId w:val="2"/>
        </w:numPr>
        <w:tabs>
          <w:tab w:val="left" w:pos="671"/>
        </w:tabs>
        <w:ind w:left="670" w:hanging="421"/>
        <w:jc w:val="both"/>
        <w:rPr>
          <w:b/>
          <w:sz w:val="24"/>
          <w:szCs w:val="24"/>
        </w:rPr>
      </w:pPr>
      <w:r w:rsidRPr="002F4596">
        <w:rPr>
          <w:b/>
          <w:sz w:val="24"/>
          <w:szCs w:val="24"/>
        </w:rPr>
        <w:t>Farmakodinamik</w:t>
      </w:r>
      <w:r w:rsidRPr="002F4596">
        <w:rPr>
          <w:b/>
          <w:spacing w:val="-1"/>
          <w:sz w:val="24"/>
          <w:szCs w:val="24"/>
        </w:rPr>
        <w:t xml:space="preserve"> </w:t>
      </w:r>
      <w:r w:rsidRPr="002F4596">
        <w:rPr>
          <w:b/>
          <w:sz w:val="24"/>
          <w:szCs w:val="24"/>
        </w:rPr>
        <w:t>özellikler</w:t>
      </w:r>
    </w:p>
    <w:p w14:paraId="3ADAF64B" w14:textId="77777777" w:rsidR="00CB2508" w:rsidRPr="002F4596" w:rsidRDefault="00CB2508" w:rsidP="007B7CCA">
      <w:pPr>
        <w:pStyle w:val="GvdeMetni"/>
        <w:spacing w:before="6"/>
        <w:ind w:left="0"/>
        <w:jc w:val="both"/>
        <w:rPr>
          <w:b/>
        </w:rPr>
      </w:pPr>
    </w:p>
    <w:p w14:paraId="7D2762F3" w14:textId="40723390" w:rsidR="00CB2508" w:rsidRPr="002F4596" w:rsidRDefault="00A12CE4" w:rsidP="007B7CCA">
      <w:pPr>
        <w:pStyle w:val="GvdeMetni"/>
        <w:ind w:right="108"/>
        <w:jc w:val="both"/>
      </w:pPr>
      <w:proofErr w:type="spellStart"/>
      <w:r w:rsidRPr="002F4596">
        <w:rPr>
          <w:position w:val="2"/>
        </w:rPr>
        <w:t>Farmakoterapötik</w:t>
      </w:r>
      <w:proofErr w:type="spellEnd"/>
      <w:r w:rsidRPr="002F4596">
        <w:rPr>
          <w:position w:val="2"/>
        </w:rPr>
        <w:t xml:space="preserve"> grubu:</w:t>
      </w:r>
      <w:r w:rsidR="00916165" w:rsidRPr="002F4596">
        <w:rPr>
          <w:position w:val="2"/>
        </w:rPr>
        <w:t xml:space="preserve"> </w:t>
      </w:r>
      <w:proofErr w:type="spellStart"/>
      <w:r w:rsidR="00916165" w:rsidRPr="002F4596">
        <w:rPr>
          <w:position w:val="2"/>
        </w:rPr>
        <w:t>Lökotrien</w:t>
      </w:r>
      <w:proofErr w:type="spellEnd"/>
      <w:r w:rsidR="00916165" w:rsidRPr="002F4596">
        <w:rPr>
          <w:position w:val="2"/>
        </w:rPr>
        <w:t xml:space="preserve"> reseptör antagonistleri, </w:t>
      </w:r>
      <w:proofErr w:type="spellStart"/>
      <w:r w:rsidR="00916165" w:rsidRPr="002F4596">
        <w:rPr>
          <w:position w:val="2"/>
        </w:rPr>
        <w:t>montelukast</w:t>
      </w:r>
      <w:proofErr w:type="spellEnd"/>
      <w:r w:rsidR="00916165" w:rsidRPr="002F4596">
        <w:rPr>
          <w:position w:val="2"/>
        </w:rPr>
        <w:t xml:space="preserve"> kombinasyonu</w:t>
      </w:r>
      <w:r w:rsidRPr="002F4596">
        <w:rPr>
          <w:position w:val="2"/>
        </w:rPr>
        <w:t xml:space="preserve"> </w:t>
      </w:r>
    </w:p>
    <w:p w14:paraId="6B0BFDF5" w14:textId="77777777" w:rsidR="00CB2508" w:rsidRPr="002F4596" w:rsidRDefault="00CB2508" w:rsidP="007B7CCA">
      <w:pPr>
        <w:pStyle w:val="GvdeMetni"/>
        <w:spacing w:before="9"/>
        <w:ind w:left="0"/>
        <w:jc w:val="both"/>
      </w:pPr>
    </w:p>
    <w:p w14:paraId="461A9F9B" w14:textId="45E649BC" w:rsidR="00CB2508" w:rsidRPr="002F4596" w:rsidRDefault="00A12CE4" w:rsidP="007B7CCA">
      <w:pPr>
        <w:pStyle w:val="GvdeMetni"/>
        <w:jc w:val="both"/>
      </w:pPr>
      <w:r w:rsidRPr="002F4596">
        <w:t xml:space="preserve">ATC kodu: </w:t>
      </w:r>
      <w:r w:rsidR="002B5EC4" w:rsidRPr="002F4596">
        <w:t>R03DC53</w:t>
      </w:r>
    </w:p>
    <w:p w14:paraId="2750A186" w14:textId="77777777" w:rsidR="00916165" w:rsidRPr="002F4596" w:rsidRDefault="00916165" w:rsidP="007B7CCA">
      <w:pPr>
        <w:pStyle w:val="GvdeMetni"/>
        <w:ind w:left="0"/>
        <w:jc w:val="both"/>
      </w:pPr>
    </w:p>
    <w:p w14:paraId="275E083C" w14:textId="77777777" w:rsidR="00CB2508" w:rsidRPr="002F4596" w:rsidRDefault="00A12CE4" w:rsidP="007B7CCA">
      <w:pPr>
        <w:ind w:left="250"/>
        <w:jc w:val="both"/>
        <w:rPr>
          <w:i/>
          <w:sz w:val="24"/>
          <w:szCs w:val="24"/>
        </w:rPr>
      </w:pPr>
      <w:proofErr w:type="spellStart"/>
      <w:r w:rsidRPr="002F4596">
        <w:rPr>
          <w:i/>
          <w:sz w:val="24"/>
          <w:szCs w:val="24"/>
        </w:rPr>
        <w:t>Desloratadin</w:t>
      </w:r>
      <w:proofErr w:type="spellEnd"/>
    </w:p>
    <w:p w14:paraId="1BC18326" w14:textId="7ACC2AC5" w:rsidR="002B5EC4" w:rsidRPr="002F4596" w:rsidRDefault="002B5EC4" w:rsidP="007B7CCA">
      <w:pPr>
        <w:pStyle w:val="GvdeMetni"/>
        <w:ind w:right="104"/>
        <w:jc w:val="both"/>
        <w:rPr>
          <w:u w:val="single"/>
        </w:rPr>
      </w:pPr>
      <w:r w:rsidRPr="002F4596">
        <w:rPr>
          <w:u w:val="single"/>
        </w:rPr>
        <w:t>Etki mekanizması</w:t>
      </w:r>
    </w:p>
    <w:p w14:paraId="5D6EACE7" w14:textId="2C332E5C" w:rsidR="00CB2508" w:rsidRPr="002F4596" w:rsidRDefault="00A12CE4" w:rsidP="007B7CCA">
      <w:pPr>
        <w:pStyle w:val="GvdeMetni"/>
        <w:ind w:right="104"/>
        <w:jc w:val="both"/>
      </w:pPr>
      <w:proofErr w:type="spellStart"/>
      <w:r w:rsidRPr="002F4596">
        <w:t>Desloratadin</w:t>
      </w:r>
      <w:proofErr w:type="spellEnd"/>
      <w:r w:rsidRPr="002F4596">
        <w:t xml:space="preserve"> sedasyon yapmayan, uzun etkili</w:t>
      </w:r>
      <w:r w:rsidR="002B5EC4" w:rsidRPr="002F4596">
        <w:t>,</w:t>
      </w:r>
      <w:r w:rsidRPr="002F4596">
        <w:t xml:space="preserve"> </w:t>
      </w:r>
      <w:r w:rsidR="002B5EC4" w:rsidRPr="002F4596">
        <w:t xml:space="preserve">potent, selektif periferik </w:t>
      </w:r>
      <w:r w:rsidRPr="002F4596">
        <w:t xml:space="preserve">histamin </w:t>
      </w:r>
      <w:r w:rsidR="002B5EC4" w:rsidRPr="002F4596">
        <w:t>H</w:t>
      </w:r>
      <w:r w:rsidR="002B5EC4" w:rsidRPr="002F4596">
        <w:rPr>
          <w:vertAlign w:val="subscript"/>
        </w:rPr>
        <w:t>1</w:t>
      </w:r>
      <w:r w:rsidR="002B5EC4" w:rsidRPr="002F4596">
        <w:t xml:space="preserve"> </w:t>
      </w:r>
      <w:r w:rsidRPr="002F4596">
        <w:t xml:space="preserve">reseptör antagonistidir. </w:t>
      </w:r>
      <w:proofErr w:type="spellStart"/>
      <w:r w:rsidRPr="002F4596">
        <w:t>Desloratadin</w:t>
      </w:r>
      <w:proofErr w:type="spellEnd"/>
      <w:r w:rsidRPr="002F4596">
        <w:t xml:space="preserve">, oral uygulamadan sonra santral sinir sistemine </w:t>
      </w:r>
      <w:r w:rsidR="002B5EC4" w:rsidRPr="002F4596">
        <w:t xml:space="preserve">girememesi </w:t>
      </w:r>
      <w:r w:rsidRPr="002F4596">
        <w:t>nedeniyle, periferik histamin Hl</w:t>
      </w:r>
      <w:r w:rsidR="002B5EC4" w:rsidRPr="002F4596">
        <w:t>-</w:t>
      </w:r>
      <w:r w:rsidRPr="002F4596">
        <w:t>reseptörlerini selektif olarak bloke eder.</w:t>
      </w:r>
    </w:p>
    <w:p w14:paraId="79EC0237" w14:textId="77777777" w:rsidR="00CB2508" w:rsidRPr="002F4596" w:rsidRDefault="00CB2508" w:rsidP="007B7CCA">
      <w:pPr>
        <w:pStyle w:val="GvdeMetni"/>
        <w:ind w:left="0"/>
        <w:jc w:val="both"/>
      </w:pPr>
    </w:p>
    <w:p w14:paraId="6E1DF230" w14:textId="361C889F" w:rsidR="00CB2508" w:rsidRPr="002F4596" w:rsidRDefault="00A12CE4" w:rsidP="007B7CCA">
      <w:pPr>
        <w:pStyle w:val="GvdeMetni"/>
        <w:spacing w:before="1"/>
        <w:ind w:right="106"/>
        <w:jc w:val="both"/>
      </w:pPr>
      <w:proofErr w:type="spellStart"/>
      <w:r w:rsidRPr="002F4596">
        <w:t>Desloratadin</w:t>
      </w:r>
      <w:proofErr w:type="spellEnd"/>
      <w:r w:rsidR="00FF6179" w:rsidRPr="002F4596">
        <w:rPr>
          <w:strike/>
        </w:rPr>
        <w:t>,</w:t>
      </w:r>
      <w:r w:rsidRPr="002F4596">
        <w:t xml:space="preserve"> in vitro çalışmalarda antialerjik özellikler göstermiştir. </w:t>
      </w:r>
      <w:r w:rsidR="00E91750" w:rsidRPr="002F4596">
        <w:t>Bunlar</w:t>
      </w:r>
      <w:r w:rsidRPr="002F4596">
        <w:t xml:space="preserve"> IL-4, IL-6, IL-8 ve IL-13 gibi proinflamatuar sitokinlerin </w:t>
      </w:r>
      <w:r w:rsidR="00E91750" w:rsidRPr="002F4596">
        <w:t xml:space="preserve">insan </w:t>
      </w:r>
      <w:proofErr w:type="spellStart"/>
      <w:r w:rsidR="00E91750" w:rsidRPr="002F4596">
        <w:t>mast</w:t>
      </w:r>
      <w:proofErr w:type="spellEnd"/>
      <w:r w:rsidR="00E91750" w:rsidRPr="002F4596">
        <w:t xml:space="preserve"> hücrelerinden / bazofillerden salınımının inhibisyonunu </w:t>
      </w:r>
      <w:r w:rsidRPr="002F4596">
        <w:t xml:space="preserve">ve endotel </w:t>
      </w:r>
      <w:r w:rsidR="00E91750" w:rsidRPr="002F4596">
        <w:t xml:space="preserve">hücrelerinde </w:t>
      </w:r>
      <w:r w:rsidRPr="002F4596">
        <w:t>adezyon molekülü P-</w:t>
      </w:r>
      <w:proofErr w:type="spellStart"/>
      <w:r w:rsidR="00E91750" w:rsidRPr="002F4596">
        <w:t>selektinin</w:t>
      </w:r>
      <w:proofErr w:type="spellEnd"/>
      <w:r w:rsidRPr="002F4596">
        <w:t xml:space="preserve"> ekspresyonunun </w:t>
      </w:r>
      <w:r w:rsidR="00E91750" w:rsidRPr="002F4596">
        <w:t xml:space="preserve">inhibe edilmesini içerir. </w:t>
      </w:r>
      <w:r w:rsidRPr="002F4596">
        <w:t>Bu gözlemlerin klinik önem</w:t>
      </w:r>
      <w:r w:rsidR="00E91750" w:rsidRPr="002F4596">
        <w:t>i</w:t>
      </w:r>
      <w:r w:rsidRPr="002F4596">
        <w:t xml:space="preserve">, henüz </w:t>
      </w:r>
      <w:r w:rsidR="00E91750" w:rsidRPr="002F4596">
        <w:t>doğrulanmamıştır.</w:t>
      </w:r>
    </w:p>
    <w:p w14:paraId="0DE0FF2C" w14:textId="77777777" w:rsidR="00CB2508" w:rsidRPr="002F4596" w:rsidRDefault="00CB2508" w:rsidP="007B7CCA">
      <w:pPr>
        <w:pStyle w:val="GvdeMetni"/>
        <w:ind w:left="0"/>
        <w:jc w:val="both"/>
      </w:pPr>
    </w:p>
    <w:p w14:paraId="0BA9E579" w14:textId="7EA918F4" w:rsidR="00CB2508" w:rsidRPr="002F4596" w:rsidRDefault="00A12CE4" w:rsidP="007B7CCA">
      <w:pPr>
        <w:ind w:left="250"/>
        <w:jc w:val="both"/>
        <w:rPr>
          <w:iCs/>
          <w:sz w:val="24"/>
          <w:szCs w:val="24"/>
          <w:u w:val="single"/>
        </w:rPr>
      </w:pPr>
      <w:r w:rsidRPr="002F4596">
        <w:rPr>
          <w:iCs/>
          <w:sz w:val="24"/>
          <w:szCs w:val="24"/>
          <w:u w:val="single"/>
        </w:rPr>
        <w:t xml:space="preserve">Klinik </w:t>
      </w:r>
      <w:r w:rsidR="00E91750" w:rsidRPr="002F4596">
        <w:rPr>
          <w:iCs/>
          <w:sz w:val="24"/>
          <w:szCs w:val="24"/>
          <w:u w:val="single"/>
        </w:rPr>
        <w:t>etkililik ve güvenlilik</w:t>
      </w:r>
    </w:p>
    <w:p w14:paraId="0FD50610" w14:textId="407388C9" w:rsidR="00CB2508" w:rsidRPr="002F4596" w:rsidRDefault="00E91750" w:rsidP="007B7CCA">
      <w:pPr>
        <w:pStyle w:val="GvdeMetni"/>
        <w:ind w:right="104"/>
        <w:jc w:val="both"/>
      </w:pPr>
      <w:r w:rsidRPr="002F4596">
        <w:t>14</w:t>
      </w:r>
      <w:r w:rsidR="00A12CE4" w:rsidRPr="002F4596">
        <w:t xml:space="preserve"> gün </w:t>
      </w:r>
      <w:r w:rsidRPr="002F4596">
        <w:t>boyunca</w:t>
      </w:r>
      <w:r w:rsidR="00A12CE4" w:rsidRPr="002F4596">
        <w:t xml:space="preserve">, günde 20 mg'a kadar </w:t>
      </w:r>
      <w:proofErr w:type="spellStart"/>
      <w:r w:rsidR="00A12CE4" w:rsidRPr="002F4596">
        <w:t>desloratadin</w:t>
      </w:r>
      <w:proofErr w:type="spellEnd"/>
      <w:r w:rsidR="00A12CE4" w:rsidRPr="002F4596">
        <w:t xml:space="preserve"> uygulanan çok dozlu bir klinik araştırmada, istatistik </w:t>
      </w:r>
      <w:r w:rsidR="00A12CE4" w:rsidRPr="002F4596">
        <w:rPr>
          <w:spacing w:val="-3"/>
        </w:rPr>
        <w:t xml:space="preserve">ya </w:t>
      </w:r>
      <w:r w:rsidR="00A12CE4" w:rsidRPr="002F4596">
        <w:t xml:space="preserve">da klinik açıdan önemli hiçbir kardiyovasküler etki gözlenmemiştir. </w:t>
      </w:r>
      <w:proofErr w:type="spellStart"/>
      <w:r w:rsidRPr="002F4596">
        <w:t>Desloratadinin</w:t>
      </w:r>
      <w:proofErr w:type="spellEnd"/>
      <w:r w:rsidRPr="002F4596">
        <w:t xml:space="preserve"> on</w:t>
      </w:r>
      <w:r w:rsidR="00A12CE4" w:rsidRPr="002F4596">
        <w:t xml:space="preserve"> gün süreyle, günde 45 mg (klinik dozun dokuz katı) </w:t>
      </w:r>
      <w:r w:rsidRPr="002F4596">
        <w:t xml:space="preserve">verildiği </w:t>
      </w:r>
      <w:r w:rsidR="00A12CE4" w:rsidRPr="002F4596">
        <w:t xml:space="preserve">bir klinik farmakoloji </w:t>
      </w:r>
      <w:r w:rsidRPr="002F4596">
        <w:t>araştırmasında</w:t>
      </w:r>
      <w:r w:rsidR="00A12CE4" w:rsidRPr="002F4596">
        <w:t xml:space="preserve">, </w:t>
      </w:r>
      <w:proofErr w:type="spellStart"/>
      <w:r w:rsidR="00A12CE4" w:rsidRPr="002F4596">
        <w:t>QTc</w:t>
      </w:r>
      <w:proofErr w:type="spellEnd"/>
      <w:r w:rsidR="00A12CE4" w:rsidRPr="002F4596">
        <w:t xml:space="preserve"> intervalinde uzama</w:t>
      </w:r>
      <w:r w:rsidR="00A12CE4" w:rsidRPr="002F4596">
        <w:rPr>
          <w:spacing w:val="-11"/>
        </w:rPr>
        <w:t xml:space="preserve"> </w:t>
      </w:r>
      <w:r w:rsidRPr="002F4596">
        <w:t>gözlenmemiştir</w:t>
      </w:r>
      <w:r w:rsidR="00A12CE4" w:rsidRPr="002F4596">
        <w:t>.</w:t>
      </w:r>
    </w:p>
    <w:p w14:paraId="410B95C8" w14:textId="77777777" w:rsidR="002263D6" w:rsidRPr="002F4596" w:rsidRDefault="002263D6" w:rsidP="007B7CCA">
      <w:pPr>
        <w:pStyle w:val="GvdeMetni"/>
        <w:ind w:right="104"/>
        <w:jc w:val="both"/>
      </w:pPr>
    </w:p>
    <w:p w14:paraId="4102086B" w14:textId="4E562EDA" w:rsidR="002263D6" w:rsidRPr="002F4596" w:rsidRDefault="00E91750" w:rsidP="007B7CCA">
      <w:pPr>
        <w:pStyle w:val="GvdeMetni"/>
        <w:ind w:right="141"/>
        <w:jc w:val="both"/>
      </w:pPr>
      <w:r w:rsidRPr="002F4596">
        <w:t>Ketokonazol</w:t>
      </w:r>
      <w:r w:rsidR="00A12CE4" w:rsidRPr="002F4596">
        <w:t xml:space="preserve"> ve </w:t>
      </w:r>
      <w:proofErr w:type="spellStart"/>
      <w:r w:rsidR="00A12CE4" w:rsidRPr="002F4596">
        <w:t>eritromisin</w:t>
      </w:r>
      <w:r w:rsidRPr="002F4596">
        <w:t>in</w:t>
      </w:r>
      <w:proofErr w:type="spellEnd"/>
      <w:r w:rsidRPr="002F4596">
        <w:t xml:space="preserve"> çoklu dozlarıyla yapılan</w:t>
      </w:r>
      <w:r w:rsidR="00A12CE4" w:rsidRPr="002F4596">
        <w:t xml:space="preserve"> etkileşim çalışmalarında, </w:t>
      </w:r>
      <w:proofErr w:type="spellStart"/>
      <w:r w:rsidR="00A12CE4" w:rsidRPr="002F4596">
        <w:t>desloratadin</w:t>
      </w:r>
      <w:r w:rsidRPr="002F4596">
        <w:t>in</w:t>
      </w:r>
      <w:proofErr w:type="spellEnd"/>
      <w:r w:rsidR="00A12CE4" w:rsidRPr="002F4596">
        <w:t xml:space="preserve"> plazma </w:t>
      </w:r>
      <w:r w:rsidR="002263D6" w:rsidRPr="002F4596">
        <w:t>konsantrasyonunda</w:t>
      </w:r>
      <w:r w:rsidRPr="002F4596">
        <w:t xml:space="preserve"> </w:t>
      </w:r>
      <w:r w:rsidR="00A12CE4" w:rsidRPr="002F4596">
        <w:t xml:space="preserve">değişiklik </w:t>
      </w:r>
      <w:r w:rsidR="002263D6" w:rsidRPr="002F4596">
        <w:t>gözlemlenmemiştir</w:t>
      </w:r>
      <w:r w:rsidR="00A12CE4" w:rsidRPr="002F4596">
        <w:t>.</w:t>
      </w:r>
    </w:p>
    <w:p w14:paraId="052FF846" w14:textId="77777777" w:rsidR="00864BED" w:rsidRPr="002F4596" w:rsidRDefault="00864BED" w:rsidP="00864BED">
      <w:pPr>
        <w:pStyle w:val="GvdeMetni"/>
        <w:ind w:right="141"/>
        <w:jc w:val="both"/>
      </w:pPr>
    </w:p>
    <w:p w14:paraId="0E1C1BCD" w14:textId="69C28F56" w:rsidR="002263D6" w:rsidRPr="002F4596" w:rsidRDefault="00864BED" w:rsidP="00864BED">
      <w:pPr>
        <w:pStyle w:val="GvdeMetni"/>
        <w:ind w:right="141"/>
        <w:jc w:val="both"/>
        <w:rPr>
          <w:i/>
          <w:u w:val="single"/>
        </w:rPr>
      </w:pPr>
      <w:r w:rsidRPr="002F4596">
        <w:rPr>
          <w:i/>
          <w:u w:val="single"/>
        </w:rPr>
        <w:t>Farmakodinamik etkiler</w:t>
      </w:r>
    </w:p>
    <w:p w14:paraId="65D362B2" w14:textId="2B71F2C9" w:rsidR="002263D6" w:rsidRPr="002F4596" w:rsidRDefault="00A12CE4" w:rsidP="001C598F">
      <w:pPr>
        <w:pStyle w:val="GvdeMetni"/>
        <w:ind w:right="141"/>
        <w:jc w:val="both"/>
      </w:pPr>
      <w:proofErr w:type="spellStart"/>
      <w:r w:rsidRPr="002F4596">
        <w:t>Desloratadin</w:t>
      </w:r>
      <w:proofErr w:type="spellEnd"/>
      <w:r w:rsidRPr="002F4596">
        <w:t xml:space="preserve"> santral sinir sistemine kolayca penetre olmaz. </w:t>
      </w:r>
      <w:r w:rsidR="002263D6" w:rsidRPr="002F4596">
        <w:t>Kontrollü klinik çalışmalarda, önerilen</w:t>
      </w:r>
      <w:r w:rsidRPr="002F4596">
        <w:t xml:space="preserve"> günlük 5</w:t>
      </w:r>
      <w:r w:rsidR="002263D6" w:rsidRPr="002F4596">
        <w:t xml:space="preserve"> </w:t>
      </w:r>
      <w:r w:rsidRPr="002F4596">
        <w:t xml:space="preserve">mg dozda, </w:t>
      </w:r>
      <w:proofErr w:type="spellStart"/>
      <w:r w:rsidRPr="002F4596">
        <w:t>somnolans</w:t>
      </w:r>
      <w:proofErr w:type="spellEnd"/>
      <w:r w:rsidRPr="002F4596">
        <w:t xml:space="preserve"> insidansında plaseboya kıyasla bir artış olmamıştır.</w:t>
      </w:r>
    </w:p>
    <w:p w14:paraId="0F11037A" w14:textId="07002401" w:rsidR="00CB2508" w:rsidRPr="002F4596" w:rsidRDefault="00A12CE4" w:rsidP="001C598F">
      <w:pPr>
        <w:pStyle w:val="GvdeMetni"/>
        <w:ind w:right="145"/>
        <w:jc w:val="both"/>
      </w:pPr>
      <w:r w:rsidRPr="002F4596">
        <w:t xml:space="preserve">Klinik </w:t>
      </w:r>
      <w:r w:rsidR="002263D6" w:rsidRPr="002F4596">
        <w:t>çalışmalarda</w:t>
      </w:r>
      <w:r w:rsidRPr="002F4596">
        <w:t xml:space="preserve"> </w:t>
      </w:r>
      <w:r w:rsidR="002263D6" w:rsidRPr="002F4596">
        <w:t>7,5 mg günlük dozda</w:t>
      </w:r>
      <w:r w:rsidRPr="002F4596">
        <w:t xml:space="preserve"> verilen </w:t>
      </w:r>
      <w:proofErr w:type="spellStart"/>
      <w:r w:rsidRPr="002F4596">
        <w:t>desloratadin</w:t>
      </w:r>
      <w:proofErr w:type="spellEnd"/>
      <w:r w:rsidRPr="002F4596">
        <w:t xml:space="preserve"> psikomotor performansı </w:t>
      </w:r>
      <w:proofErr w:type="spellStart"/>
      <w:proofErr w:type="gramStart"/>
      <w:r w:rsidRPr="002F4596">
        <w:t>etkilememiştir.Erişkinlerde</w:t>
      </w:r>
      <w:r w:rsidR="002263D6" w:rsidRPr="002F4596">
        <w:t>ki</w:t>
      </w:r>
      <w:proofErr w:type="spellEnd"/>
      <w:proofErr w:type="gramEnd"/>
      <w:r w:rsidRPr="002F4596">
        <w:t xml:space="preserve"> tek doz çalışmasında </w:t>
      </w:r>
      <w:proofErr w:type="spellStart"/>
      <w:r w:rsidRPr="002F4596">
        <w:t>desloratadin</w:t>
      </w:r>
      <w:proofErr w:type="spellEnd"/>
      <w:r w:rsidRPr="002F4596">
        <w:t xml:space="preserve">, </w:t>
      </w:r>
      <w:r w:rsidR="002263D6" w:rsidRPr="002F4596">
        <w:t>5 mg, sübjektif uyku</w:t>
      </w:r>
      <w:r w:rsidRPr="002F4596">
        <w:t xml:space="preserve"> halinin şiddetlenmesi veya uçuşla ilgili faaliyetleri de kapsayan, </w:t>
      </w:r>
      <w:r w:rsidR="002263D6" w:rsidRPr="002F4596">
        <w:t xml:space="preserve">uçuş performansının </w:t>
      </w:r>
      <w:r w:rsidRPr="002F4596">
        <w:t xml:space="preserve">standart ölçümlerini </w:t>
      </w:r>
      <w:r w:rsidR="002263D6" w:rsidRPr="002F4596">
        <w:t>etkilemez</w:t>
      </w:r>
      <w:r w:rsidRPr="002F4596">
        <w:t>.</w:t>
      </w:r>
    </w:p>
    <w:p w14:paraId="6E077C23" w14:textId="392FAEF9" w:rsidR="002263D6" w:rsidRDefault="002263D6" w:rsidP="007B7CCA">
      <w:pPr>
        <w:pStyle w:val="GvdeMetni"/>
        <w:spacing w:before="76"/>
        <w:ind w:right="144"/>
        <w:jc w:val="both"/>
      </w:pPr>
    </w:p>
    <w:p w14:paraId="755869BC" w14:textId="77777777" w:rsidR="002F4596" w:rsidRPr="002F4596" w:rsidRDefault="002F4596" w:rsidP="007B7CCA">
      <w:pPr>
        <w:pStyle w:val="GvdeMetni"/>
        <w:spacing w:before="76"/>
        <w:ind w:right="144"/>
        <w:jc w:val="both"/>
      </w:pPr>
    </w:p>
    <w:p w14:paraId="1ABF1F3D" w14:textId="23705278" w:rsidR="00CB2508" w:rsidRPr="002F4596" w:rsidRDefault="00A12CE4" w:rsidP="007B7CCA">
      <w:pPr>
        <w:pStyle w:val="GvdeMetni"/>
        <w:ind w:right="104"/>
        <w:jc w:val="both"/>
      </w:pPr>
      <w:r w:rsidRPr="002F4596">
        <w:t>Klinik farmakoloji çalışmalarında alkol ile</w:t>
      </w:r>
      <w:r w:rsidR="001C598F" w:rsidRPr="002F4596">
        <w:t xml:space="preserve"> </w:t>
      </w:r>
      <w:r w:rsidRPr="002F4596">
        <w:t>birlikte uygulama, alkolün</w:t>
      </w:r>
      <w:r w:rsidR="002263D6" w:rsidRPr="002F4596">
        <w:t xml:space="preserve"> neden olduğu </w:t>
      </w:r>
      <w:r w:rsidRPr="002F4596">
        <w:t xml:space="preserve">performans </w:t>
      </w:r>
      <w:r w:rsidR="002263D6" w:rsidRPr="002F4596">
        <w:t xml:space="preserve">zayıflaması </w:t>
      </w:r>
      <w:r w:rsidRPr="002F4596">
        <w:t xml:space="preserve">ya da </w:t>
      </w:r>
      <w:r w:rsidR="002263D6" w:rsidRPr="002F4596">
        <w:t>uykusuzluk artışına neden olmamıştır</w:t>
      </w:r>
      <w:r w:rsidRPr="002F4596">
        <w:t xml:space="preserve">. Tek başına ya da alkol ile birlikte </w:t>
      </w:r>
      <w:r w:rsidR="002263D6" w:rsidRPr="002F4596">
        <w:t>alındığında</w:t>
      </w:r>
      <w:r w:rsidRPr="002F4596">
        <w:t xml:space="preserve">, </w:t>
      </w:r>
      <w:proofErr w:type="spellStart"/>
      <w:r w:rsidRPr="002F4596">
        <w:t>desloratadin</w:t>
      </w:r>
      <w:proofErr w:type="spellEnd"/>
      <w:r w:rsidRPr="002F4596">
        <w:t xml:space="preserve"> ve plasebo grupları arasında psikomotor test </w:t>
      </w:r>
      <w:r w:rsidR="002263D6" w:rsidRPr="002F4596">
        <w:t>sonuçları bakımından</w:t>
      </w:r>
      <w:r w:rsidRPr="002F4596">
        <w:t xml:space="preserve"> anlamlı </w:t>
      </w:r>
      <w:r w:rsidR="002263D6" w:rsidRPr="002F4596">
        <w:t>bir fark</w:t>
      </w:r>
      <w:r w:rsidRPr="002F4596">
        <w:t xml:space="preserve"> bulunmamıştır.</w:t>
      </w:r>
    </w:p>
    <w:p w14:paraId="14E10601" w14:textId="77777777" w:rsidR="002263D6" w:rsidRPr="002F4596" w:rsidRDefault="002263D6" w:rsidP="007B7CCA">
      <w:pPr>
        <w:pStyle w:val="GvdeMetni"/>
        <w:ind w:right="104"/>
        <w:jc w:val="both"/>
      </w:pPr>
    </w:p>
    <w:p w14:paraId="36936E25" w14:textId="6364146C" w:rsidR="002263D6" w:rsidRPr="002F4596" w:rsidRDefault="00A12CE4" w:rsidP="007B7CCA">
      <w:pPr>
        <w:pStyle w:val="GvdeMetni"/>
        <w:ind w:right="102"/>
        <w:jc w:val="both"/>
      </w:pPr>
      <w:r w:rsidRPr="002F4596">
        <w:t xml:space="preserve">Alerjik </w:t>
      </w:r>
      <w:proofErr w:type="spellStart"/>
      <w:r w:rsidRPr="002F4596">
        <w:t>rinitli</w:t>
      </w:r>
      <w:proofErr w:type="spellEnd"/>
      <w:r w:rsidRPr="002F4596">
        <w:t xml:space="preserve"> hastalarda </w:t>
      </w:r>
      <w:proofErr w:type="spellStart"/>
      <w:r w:rsidRPr="002F4596">
        <w:t>desloratadin</w:t>
      </w:r>
      <w:proofErr w:type="spellEnd"/>
      <w:r w:rsidRPr="002F4596">
        <w:t xml:space="preserve"> hapşırık, burunda akıntı ve kaşınma, </w:t>
      </w:r>
      <w:r w:rsidR="00A45D55" w:rsidRPr="002F4596">
        <w:t xml:space="preserve">konjesyon / burun tıkanıklığı, </w:t>
      </w:r>
      <w:r w:rsidRPr="002F4596">
        <w:t xml:space="preserve">aynı zamanda gözlerde kaşınma, yaşarma ve kızarıklık ve damakta kaşınma gibi semptomların giderilmesinde etkili olmuştur. </w:t>
      </w:r>
      <w:proofErr w:type="spellStart"/>
      <w:r w:rsidRPr="002F4596">
        <w:t>Desloratadin</w:t>
      </w:r>
      <w:proofErr w:type="spellEnd"/>
      <w:r w:rsidRPr="002F4596">
        <w:t xml:space="preserve"> semptomları 24 saat </w:t>
      </w:r>
      <w:r w:rsidR="00A45D55" w:rsidRPr="002F4596">
        <w:t>süresince</w:t>
      </w:r>
      <w:r w:rsidRPr="002F4596">
        <w:t xml:space="preserve"> etkili bir şekilde kontrol altına almıştır. </w:t>
      </w:r>
      <w:proofErr w:type="spellStart"/>
      <w:r w:rsidR="00A45D55" w:rsidRPr="002F4596">
        <w:t>Desloratadinin</w:t>
      </w:r>
      <w:proofErr w:type="spellEnd"/>
      <w:r w:rsidR="00A45D55" w:rsidRPr="002F4596">
        <w:t xml:space="preserve"> etkililiği</w:t>
      </w:r>
      <w:r w:rsidRPr="002F4596">
        <w:t xml:space="preserve">, 12-17 yaş </w:t>
      </w:r>
      <w:r w:rsidR="00A45D55" w:rsidRPr="002F4596">
        <w:t xml:space="preserve">arası adolesanlardaki klinik çalışmalarda </w:t>
      </w:r>
      <w:r w:rsidRPr="002F4596">
        <w:t xml:space="preserve">net </w:t>
      </w:r>
      <w:r w:rsidR="00A45D55" w:rsidRPr="002F4596">
        <w:t>olarak kanıtlanmamıştır</w:t>
      </w:r>
      <w:r w:rsidRPr="002F4596">
        <w:t>.</w:t>
      </w:r>
    </w:p>
    <w:p w14:paraId="3FF87DFD" w14:textId="4D148FE9" w:rsidR="00520DC3" w:rsidRPr="002F4596" w:rsidRDefault="00520DC3" w:rsidP="007B7CCA">
      <w:pPr>
        <w:pStyle w:val="GvdeMetni"/>
        <w:ind w:right="102"/>
        <w:jc w:val="both"/>
      </w:pPr>
    </w:p>
    <w:p w14:paraId="28E1C5DF" w14:textId="45C75238" w:rsidR="00520DC3" w:rsidRPr="002F4596" w:rsidRDefault="00520DC3" w:rsidP="007B7CCA">
      <w:pPr>
        <w:pStyle w:val="GvdeMetni"/>
        <w:ind w:right="102"/>
        <w:jc w:val="both"/>
      </w:pPr>
      <w:r w:rsidRPr="002F4596">
        <w:t xml:space="preserve">Alerjik </w:t>
      </w:r>
      <w:proofErr w:type="spellStart"/>
      <w:r w:rsidRPr="002F4596">
        <w:t>rinit</w:t>
      </w:r>
      <w:proofErr w:type="spellEnd"/>
      <w:r w:rsidRPr="002F4596">
        <w:t>, mevsimsel ve yıl boyu devam eden (</w:t>
      </w:r>
      <w:proofErr w:type="spellStart"/>
      <w:r w:rsidRPr="002F4596">
        <w:t>pereniyal</w:t>
      </w:r>
      <w:proofErr w:type="spellEnd"/>
      <w:r w:rsidRPr="002F4596">
        <w:t xml:space="preserve">) alerjik </w:t>
      </w:r>
      <w:proofErr w:type="spellStart"/>
      <w:r w:rsidRPr="002F4596">
        <w:t>rinit</w:t>
      </w:r>
      <w:proofErr w:type="spellEnd"/>
      <w:r w:rsidRPr="002F4596">
        <w:t xml:space="preserve"> olarak sınıflandırıldığı gibi, semptomların </w:t>
      </w:r>
      <w:r w:rsidR="00864BED" w:rsidRPr="002F4596">
        <w:t>süresine</w:t>
      </w:r>
      <w:r w:rsidRPr="002F4596">
        <w:t xml:space="preserve"> göre </w:t>
      </w:r>
      <w:proofErr w:type="spellStart"/>
      <w:r w:rsidRPr="002F4596">
        <w:t>intermitan</w:t>
      </w:r>
      <w:proofErr w:type="spellEnd"/>
      <w:r w:rsidRPr="002F4596">
        <w:t xml:space="preserve"> ve persistan alerjik </w:t>
      </w:r>
      <w:proofErr w:type="spellStart"/>
      <w:r w:rsidRPr="002F4596">
        <w:t>rinit</w:t>
      </w:r>
      <w:proofErr w:type="spellEnd"/>
      <w:r w:rsidRPr="002F4596">
        <w:t xml:space="preserve"> olarak da sınıflandırılabilir. </w:t>
      </w:r>
      <w:proofErr w:type="spellStart"/>
      <w:r w:rsidRPr="002F4596">
        <w:t>İntermitan</w:t>
      </w:r>
      <w:proofErr w:type="spellEnd"/>
      <w:r w:rsidRPr="002F4596">
        <w:t xml:space="preserve"> alerjik </w:t>
      </w:r>
      <w:proofErr w:type="spellStart"/>
      <w:r w:rsidRPr="002F4596">
        <w:t>rinit</w:t>
      </w:r>
      <w:proofErr w:type="spellEnd"/>
      <w:r w:rsidRPr="002F4596">
        <w:t xml:space="preserve">, semptomların bir haftada 4 günden az veya 4 haftadan daha az bir sürede görülmesi olarak tanımlanabilir. Persistan alerjik </w:t>
      </w:r>
      <w:proofErr w:type="spellStart"/>
      <w:r w:rsidRPr="002F4596">
        <w:t>rinit</w:t>
      </w:r>
      <w:proofErr w:type="spellEnd"/>
      <w:r w:rsidRPr="002F4596">
        <w:t>, semptomların bir haftada 4 gün veya daha fazla ve 4 haftadan daha fazla görülmesi olarak tanımlanabilir.</w:t>
      </w:r>
    </w:p>
    <w:p w14:paraId="7028E5E9" w14:textId="77777777" w:rsidR="002263D6" w:rsidRPr="002F4596" w:rsidRDefault="002263D6" w:rsidP="007B7CCA">
      <w:pPr>
        <w:pStyle w:val="GvdeMetni"/>
        <w:ind w:right="102"/>
        <w:jc w:val="both"/>
      </w:pPr>
    </w:p>
    <w:p w14:paraId="20063215" w14:textId="2445E48B" w:rsidR="00A45D55" w:rsidRPr="002F4596" w:rsidRDefault="00A12CE4" w:rsidP="007B7CCA">
      <w:pPr>
        <w:pStyle w:val="GvdeMetni"/>
        <w:ind w:right="102"/>
        <w:jc w:val="both"/>
      </w:pPr>
      <w:proofErr w:type="spellStart"/>
      <w:r w:rsidRPr="002F4596">
        <w:t>Desloratadinin</w:t>
      </w:r>
      <w:proofErr w:type="spellEnd"/>
      <w:r w:rsidRPr="002F4596">
        <w:t xml:space="preserve"> mevsimsel alerjik </w:t>
      </w:r>
      <w:proofErr w:type="spellStart"/>
      <w:r w:rsidRPr="002F4596">
        <w:t>rinite</w:t>
      </w:r>
      <w:proofErr w:type="spellEnd"/>
      <w:r w:rsidRPr="002F4596">
        <w:t xml:space="preserve"> bağlı şikayetlerin hafifletilmesindeki </w:t>
      </w:r>
      <w:r w:rsidR="00A45D55" w:rsidRPr="002F4596">
        <w:t>etkililiği</w:t>
      </w:r>
      <w:r w:rsidRPr="002F4596">
        <w:t xml:space="preserve">, </w:t>
      </w:r>
      <w:proofErr w:type="spellStart"/>
      <w:r w:rsidR="00A45D55" w:rsidRPr="002F4596">
        <w:t>rinokonjonktivit</w:t>
      </w:r>
      <w:proofErr w:type="spellEnd"/>
      <w:r w:rsidR="00A45D55" w:rsidRPr="002F4596">
        <w:t xml:space="preserve"> </w:t>
      </w:r>
      <w:r w:rsidRPr="002F4596">
        <w:t xml:space="preserve">yaşam kalitesi anketindeki toplam skor ile gösterilmiştir. En büyük iyileşme, </w:t>
      </w:r>
      <w:r w:rsidR="00A45D55" w:rsidRPr="002F4596">
        <w:t xml:space="preserve">semptomlarca </w:t>
      </w:r>
      <w:r w:rsidRPr="002F4596">
        <w:t xml:space="preserve">kısıtlanan günlük aktiviteler </w:t>
      </w:r>
      <w:r w:rsidR="00A45D55" w:rsidRPr="002F4596">
        <w:t xml:space="preserve">ve pratik problemlerinin alanında </w:t>
      </w:r>
      <w:r w:rsidRPr="002F4596">
        <w:t>görülmüştür.</w:t>
      </w:r>
    </w:p>
    <w:p w14:paraId="6A9794E5" w14:textId="77777777" w:rsidR="00CB2508" w:rsidRPr="002F4596" w:rsidRDefault="00CB2508" w:rsidP="007B7CCA">
      <w:pPr>
        <w:pStyle w:val="GvdeMetni"/>
        <w:ind w:left="0"/>
        <w:jc w:val="both"/>
      </w:pPr>
    </w:p>
    <w:p w14:paraId="5437FB3E" w14:textId="77777777" w:rsidR="00CB2508" w:rsidRPr="002F4596" w:rsidRDefault="00A12CE4" w:rsidP="007B7CCA">
      <w:pPr>
        <w:spacing w:line="276" w:lineRule="exact"/>
        <w:ind w:left="250"/>
        <w:jc w:val="both"/>
        <w:rPr>
          <w:i/>
          <w:sz w:val="24"/>
          <w:szCs w:val="24"/>
        </w:rPr>
      </w:pPr>
      <w:proofErr w:type="spellStart"/>
      <w:r w:rsidRPr="002F4596">
        <w:rPr>
          <w:i/>
          <w:sz w:val="24"/>
          <w:szCs w:val="24"/>
        </w:rPr>
        <w:t>Montelukast</w:t>
      </w:r>
      <w:proofErr w:type="spellEnd"/>
    </w:p>
    <w:p w14:paraId="02AE6281" w14:textId="1C736222" w:rsidR="00CB2508" w:rsidRPr="002F4596" w:rsidRDefault="00A12CE4" w:rsidP="007B7CCA">
      <w:pPr>
        <w:pStyle w:val="GvdeMetni"/>
        <w:ind w:right="171"/>
        <w:jc w:val="both"/>
        <w:rPr>
          <w:strike/>
        </w:rPr>
      </w:pPr>
      <w:proofErr w:type="spellStart"/>
      <w:r w:rsidRPr="002F4596">
        <w:rPr>
          <w:position w:val="2"/>
        </w:rPr>
        <w:t>Sisteinil</w:t>
      </w:r>
      <w:proofErr w:type="spellEnd"/>
      <w:r w:rsidRPr="002F4596">
        <w:rPr>
          <w:position w:val="2"/>
        </w:rPr>
        <w:t xml:space="preserve"> </w:t>
      </w:r>
      <w:proofErr w:type="spellStart"/>
      <w:r w:rsidRPr="002F4596">
        <w:rPr>
          <w:position w:val="2"/>
        </w:rPr>
        <w:t>lökotrienler</w:t>
      </w:r>
      <w:proofErr w:type="spellEnd"/>
      <w:r w:rsidRPr="002F4596">
        <w:rPr>
          <w:position w:val="2"/>
        </w:rPr>
        <w:t xml:space="preserve"> (LTC</w:t>
      </w:r>
      <w:r w:rsidRPr="002F4596">
        <w:t>4</w:t>
      </w:r>
      <w:r w:rsidRPr="002F4596">
        <w:rPr>
          <w:position w:val="2"/>
        </w:rPr>
        <w:t>, LTD</w:t>
      </w:r>
      <w:r w:rsidRPr="002F4596">
        <w:t>4</w:t>
      </w:r>
      <w:r w:rsidRPr="002F4596">
        <w:rPr>
          <w:position w:val="2"/>
        </w:rPr>
        <w:t>, LTE</w:t>
      </w:r>
      <w:r w:rsidRPr="002F4596">
        <w:t>4</w:t>
      </w:r>
      <w:r w:rsidRPr="002F4596">
        <w:rPr>
          <w:position w:val="2"/>
        </w:rPr>
        <w:t xml:space="preserve">) </w:t>
      </w:r>
      <w:proofErr w:type="spellStart"/>
      <w:r w:rsidRPr="002F4596">
        <w:rPr>
          <w:position w:val="2"/>
        </w:rPr>
        <w:t>mast</w:t>
      </w:r>
      <w:proofErr w:type="spellEnd"/>
      <w:r w:rsidR="00A45D55" w:rsidRPr="002F4596">
        <w:rPr>
          <w:position w:val="2"/>
        </w:rPr>
        <w:t xml:space="preserve"> hücreleri</w:t>
      </w:r>
      <w:r w:rsidRPr="002F4596">
        <w:rPr>
          <w:position w:val="2"/>
        </w:rPr>
        <w:t xml:space="preserve"> ve eozinofiller dahil</w:t>
      </w:r>
      <w:r w:rsidR="00A45D55" w:rsidRPr="002F4596">
        <w:rPr>
          <w:position w:val="2"/>
        </w:rPr>
        <w:t xml:space="preserve"> olmak üzere</w:t>
      </w:r>
      <w:r w:rsidRPr="002F4596">
        <w:rPr>
          <w:position w:val="2"/>
        </w:rPr>
        <w:t xml:space="preserve"> çeşitli </w:t>
      </w:r>
      <w:r w:rsidRPr="002F4596">
        <w:t xml:space="preserve">hücrelerden salınan güçlü </w:t>
      </w:r>
      <w:proofErr w:type="spellStart"/>
      <w:r w:rsidRPr="002F4596">
        <w:t>inflamatuvar</w:t>
      </w:r>
      <w:proofErr w:type="spellEnd"/>
      <w:r w:rsidRPr="002F4596">
        <w:t xml:space="preserve"> </w:t>
      </w:r>
      <w:proofErr w:type="spellStart"/>
      <w:r w:rsidRPr="002F4596">
        <w:t>eikozanoidlerdir</w:t>
      </w:r>
      <w:proofErr w:type="spellEnd"/>
      <w:r w:rsidRPr="002F4596">
        <w:t xml:space="preserve">. Bu önemli </w:t>
      </w:r>
      <w:proofErr w:type="spellStart"/>
      <w:r w:rsidRPr="002F4596">
        <w:t>pro-astmatik</w:t>
      </w:r>
      <w:proofErr w:type="spellEnd"/>
      <w:r w:rsidRPr="002F4596">
        <w:t xml:space="preserve"> </w:t>
      </w:r>
      <w:r w:rsidRPr="002F4596">
        <w:rPr>
          <w:position w:val="2"/>
        </w:rPr>
        <w:t xml:space="preserve">mediyatörler </w:t>
      </w:r>
      <w:proofErr w:type="spellStart"/>
      <w:r w:rsidRPr="002F4596">
        <w:rPr>
          <w:position w:val="2"/>
        </w:rPr>
        <w:t>sisteinil</w:t>
      </w:r>
      <w:proofErr w:type="spellEnd"/>
      <w:r w:rsidRPr="002F4596">
        <w:rPr>
          <w:position w:val="2"/>
        </w:rPr>
        <w:t xml:space="preserve"> </w:t>
      </w:r>
      <w:proofErr w:type="spellStart"/>
      <w:r w:rsidRPr="002F4596">
        <w:rPr>
          <w:position w:val="2"/>
        </w:rPr>
        <w:t>lökotrien</w:t>
      </w:r>
      <w:proofErr w:type="spellEnd"/>
      <w:r w:rsidRPr="002F4596">
        <w:rPr>
          <w:position w:val="2"/>
        </w:rPr>
        <w:t xml:space="preserve"> (</w:t>
      </w:r>
      <w:proofErr w:type="spellStart"/>
      <w:r w:rsidRPr="002F4596">
        <w:rPr>
          <w:position w:val="2"/>
        </w:rPr>
        <w:t>CysLT</w:t>
      </w:r>
      <w:proofErr w:type="spellEnd"/>
      <w:r w:rsidRPr="002F4596">
        <w:rPr>
          <w:position w:val="2"/>
        </w:rPr>
        <w:t>) reseptörlerine bağlanır</w:t>
      </w:r>
      <w:r w:rsidR="00A45D55" w:rsidRPr="002F4596">
        <w:rPr>
          <w:position w:val="2"/>
        </w:rPr>
        <w:t>lar</w:t>
      </w:r>
      <w:r w:rsidRPr="002F4596">
        <w:rPr>
          <w:position w:val="2"/>
        </w:rPr>
        <w:t xml:space="preserve">. </w:t>
      </w:r>
      <w:proofErr w:type="spellStart"/>
      <w:r w:rsidRPr="002F4596">
        <w:rPr>
          <w:position w:val="2"/>
        </w:rPr>
        <w:t>CysLT</w:t>
      </w:r>
      <w:proofErr w:type="spellEnd"/>
      <w:r w:rsidRPr="002F4596">
        <w:rPr>
          <w:position w:val="2"/>
        </w:rPr>
        <w:t xml:space="preserve"> tip-1 (</w:t>
      </w:r>
      <w:proofErr w:type="spellStart"/>
      <w:r w:rsidRPr="002F4596">
        <w:rPr>
          <w:position w:val="2"/>
        </w:rPr>
        <w:t>CysLT</w:t>
      </w:r>
      <w:proofErr w:type="spellEnd"/>
      <w:r w:rsidRPr="002F4596">
        <w:t>1</w:t>
      </w:r>
      <w:r w:rsidRPr="002F4596">
        <w:rPr>
          <w:position w:val="2"/>
        </w:rPr>
        <w:t xml:space="preserve">) </w:t>
      </w:r>
      <w:r w:rsidRPr="002F4596">
        <w:t xml:space="preserve">reseptörü, </w:t>
      </w:r>
      <w:r w:rsidR="00A45D55" w:rsidRPr="002F4596">
        <w:t xml:space="preserve">insan </w:t>
      </w:r>
      <w:r w:rsidRPr="002F4596">
        <w:t>solunum yolu</w:t>
      </w:r>
      <w:r w:rsidR="00A45D55" w:rsidRPr="002F4596">
        <w:t>nda (solunum yolundaki</w:t>
      </w:r>
      <w:r w:rsidRPr="002F4596">
        <w:t xml:space="preserve"> düz kas hücreleri ve solunum yolunda</w:t>
      </w:r>
      <w:r w:rsidR="00A45D55" w:rsidRPr="002F4596">
        <w:t>ki makrofajlar)</w:t>
      </w:r>
      <w:r w:rsidRPr="002F4596">
        <w:t xml:space="preserve"> ve diğer </w:t>
      </w:r>
      <w:proofErr w:type="spellStart"/>
      <w:r w:rsidRPr="002F4596">
        <w:t>pro</w:t>
      </w:r>
      <w:proofErr w:type="spellEnd"/>
      <w:r w:rsidRPr="002F4596">
        <w:t xml:space="preserve">- </w:t>
      </w:r>
      <w:proofErr w:type="spellStart"/>
      <w:r w:rsidR="00A45D55" w:rsidRPr="002F4596">
        <w:t>inflamatuvar</w:t>
      </w:r>
      <w:proofErr w:type="spellEnd"/>
      <w:r w:rsidR="00A45D55" w:rsidRPr="002F4596">
        <w:t xml:space="preserve"> </w:t>
      </w:r>
      <w:r w:rsidRPr="002F4596">
        <w:t xml:space="preserve">hücrelerde (eozinofiller ve belirli </w:t>
      </w:r>
      <w:proofErr w:type="spellStart"/>
      <w:r w:rsidRPr="002F4596">
        <w:t>miyeloid</w:t>
      </w:r>
      <w:proofErr w:type="spellEnd"/>
      <w:r w:rsidRPr="002F4596">
        <w:t xml:space="preserve"> kök hücreler</w:t>
      </w:r>
      <w:r w:rsidR="005E21A8" w:rsidRPr="002F4596">
        <w:t>i</w:t>
      </w:r>
      <w:r w:rsidRPr="002F4596">
        <w:t xml:space="preserve">) bulunur. </w:t>
      </w:r>
      <w:proofErr w:type="spellStart"/>
      <w:r w:rsidR="005E21A8" w:rsidRPr="002F4596">
        <w:t>CysLT’ler</w:t>
      </w:r>
      <w:proofErr w:type="spellEnd"/>
      <w:r w:rsidR="005E21A8" w:rsidRPr="002F4596">
        <w:t xml:space="preserve"> astım</w:t>
      </w:r>
      <w:r w:rsidRPr="002F4596">
        <w:t xml:space="preserve"> ve alerjik </w:t>
      </w:r>
      <w:proofErr w:type="spellStart"/>
      <w:r w:rsidRPr="002F4596">
        <w:t>rinit</w:t>
      </w:r>
      <w:proofErr w:type="spellEnd"/>
      <w:r w:rsidRPr="002F4596">
        <w:t xml:space="preserve"> patofizyolojisiyle </w:t>
      </w:r>
      <w:r w:rsidR="005E21A8" w:rsidRPr="002F4596">
        <w:t>ilişkilendirilmiştir</w:t>
      </w:r>
      <w:r w:rsidRPr="002F4596">
        <w:t xml:space="preserve">. Astımda </w:t>
      </w:r>
      <w:proofErr w:type="spellStart"/>
      <w:r w:rsidRPr="002F4596">
        <w:t>lökotrien</w:t>
      </w:r>
      <w:r w:rsidR="005E21A8" w:rsidRPr="002F4596">
        <w:t>lerin</w:t>
      </w:r>
      <w:proofErr w:type="spellEnd"/>
      <w:r w:rsidRPr="002F4596">
        <w:t xml:space="preserve"> aracılı</w:t>
      </w:r>
      <w:r w:rsidR="005E21A8" w:rsidRPr="002F4596">
        <w:t>k ettiği</w:t>
      </w:r>
      <w:r w:rsidRPr="002F4596">
        <w:t xml:space="preserve"> etkiler </w:t>
      </w:r>
      <w:proofErr w:type="spellStart"/>
      <w:r w:rsidRPr="002F4596">
        <w:t>bronkokonstriksiyon</w:t>
      </w:r>
      <w:proofErr w:type="spellEnd"/>
      <w:r w:rsidRPr="002F4596">
        <w:t xml:space="preserve">, </w:t>
      </w:r>
      <w:proofErr w:type="spellStart"/>
      <w:r w:rsidRPr="002F4596">
        <w:t>muköz</w:t>
      </w:r>
      <w:proofErr w:type="spellEnd"/>
      <w:r w:rsidRPr="002F4596">
        <w:t xml:space="preserve"> sekresyon, damar </w:t>
      </w:r>
      <w:proofErr w:type="gramStart"/>
      <w:r w:rsidRPr="002F4596">
        <w:t>geçirgenliği</w:t>
      </w:r>
      <w:r w:rsidRPr="002F4596">
        <w:rPr>
          <w:strike/>
        </w:rPr>
        <w:t>,</w:t>
      </w:r>
      <w:proofErr w:type="gramEnd"/>
      <w:r w:rsidRPr="002F4596">
        <w:t xml:space="preserve"> ve eozinofil birikimi</w:t>
      </w:r>
      <w:r w:rsidR="005E21A8" w:rsidRPr="002F4596">
        <w:t>ni</w:t>
      </w:r>
      <w:r w:rsidRPr="002F4596">
        <w:t xml:space="preserve"> içerir. Alerjik </w:t>
      </w:r>
      <w:proofErr w:type="spellStart"/>
      <w:r w:rsidRPr="002F4596">
        <w:t>rinitte</w:t>
      </w:r>
      <w:proofErr w:type="spellEnd"/>
      <w:r w:rsidRPr="002F4596">
        <w:t xml:space="preserve">, </w:t>
      </w:r>
      <w:proofErr w:type="spellStart"/>
      <w:r w:rsidR="005E21A8" w:rsidRPr="002F4596">
        <w:t>CysLT’ler</w:t>
      </w:r>
      <w:proofErr w:type="spellEnd"/>
      <w:r w:rsidR="005E21A8" w:rsidRPr="002F4596">
        <w:t xml:space="preserve"> alerjen ile karşılaşmadan sonra</w:t>
      </w:r>
      <w:r w:rsidRPr="002F4596">
        <w:t xml:space="preserve"> hem erken hem de geç </w:t>
      </w:r>
      <w:proofErr w:type="spellStart"/>
      <w:r w:rsidRPr="002F4596">
        <w:t>fazreaksiyonlar</w:t>
      </w:r>
      <w:r w:rsidR="005E21A8" w:rsidRPr="002F4596">
        <w:t>ında</w:t>
      </w:r>
      <w:proofErr w:type="spellEnd"/>
      <w:r w:rsidRPr="002F4596">
        <w:t xml:space="preserve"> burun mukozasından </w:t>
      </w:r>
      <w:r w:rsidR="005E21A8" w:rsidRPr="002F4596">
        <w:t>salıverilir</w:t>
      </w:r>
      <w:r w:rsidRPr="002F4596">
        <w:t xml:space="preserve"> ve alerjik </w:t>
      </w:r>
      <w:proofErr w:type="spellStart"/>
      <w:r w:rsidRPr="002F4596">
        <w:t>rinit</w:t>
      </w:r>
      <w:proofErr w:type="spellEnd"/>
      <w:r w:rsidR="00FF6179" w:rsidRPr="002F4596">
        <w:rPr>
          <w:strike/>
        </w:rPr>
        <w:t xml:space="preserve"> </w:t>
      </w:r>
      <w:r w:rsidRPr="002F4596">
        <w:t>semptomlarıyla ilişkilidir</w:t>
      </w:r>
      <w:r w:rsidR="005E21A8" w:rsidRPr="002F4596">
        <w:t>ler</w:t>
      </w:r>
      <w:r w:rsidRPr="002F4596">
        <w:t xml:space="preserve">. </w:t>
      </w:r>
      <w:proofErr w:type="spellStart"/>
      <w:r w:rsidRPr="002F4596">
        <w:t>CysLT'ler</w:t>
      </w:r>
      <w:proofErr w:type="spellEnd"/>
      <w:r w:rsidRPr="002F4596">
        <w:t xml:space="preserve"> intranazal </w:t>
      </w:r>
      <w:r w:rsidR="005E21A8" w:rsidRPr="002F4596">
        <w:t xml:space="preserve">yolla burun hava yolu direnci </w:t>
      </w:r>
      <w:r w:rsidRPr="002F4596">
        <w:t xml:space="preserve">ve </w:t>
      </w:r>
      <w:r w:rsidR="005E21A8" w:rsidRPr="002F4596">
        <w:t xml:space="preserve">burun tıkanıklığı semptomlarını artırdığı </w:t>
      </w:r>
      <w:r w:rsidRPr="002F4596">
        <w:t xml:space="preserve">gösterilmiştir. </w:t>
      </w:r>
    </w:p>
    <w:p w14:paraId="1A85E394" w14:textId="3CFB4F67" w:rsidR="00FF6179" w:rsidRPr="002F4596" w:rsidRDefault="00FF6179" w:rsidP="007B298A">
      <w:pPr>
        <w:pStyle w:val="GvdeMetni"/>
        <w:spacing w:before="5"/>
        <w:ind w:left="0"/>
        <w:jc w:val="both"/>
        <w:rPr>
          <w:strike/>
        </w:rPr>
      </w:pPr>
    </w:p>
    <w:p w14:paraId="65704DB6" w14:textId="77777777" w:rsidR="001C598F" w:rsidRPr="002F4596" w:rsidRDefault="001C598F" w:rsidP="001C598F">
      <w:pPr>
        <w:pStyle w:val="GvdeMetni"/>
        <w:spacing w:before="5"/>
        <w:ind w:left="284" w:hanging="34"/>
        <w:jc w:val="both"/>
      </w:pPr>
      <w:r w:rsidRPr="002F4596">
        <w:t xml:space="preserve">Farmakodinamik etkiler </w:t>
      </w:r>
    </w:p>
    <w:p w14:paraId="1021EC13" w14:textId="545BEBC2" w:rsidR="00FF6179" w:rsidRPr="002F4596" w:rsidRDefault="001C598F" w:rsidP="001C598F">
      <w:pPr>
        <w:pStyle w:val="GvdeMetni"/>
        <w:spacing w:before="5"/>
        <w:ind w:left="284" w:hanging="34"/>
        <w:jc w:val="both"/>
      </w:pPr>
      <w:proofErr w:type="spellStart"/>
      <w:r w:rsidRPr="002F4596">
        <w:t>Montelukast</w:t>
      </w:r>
      <w:proofErr w:type="spellEnd"/>
      <w:r w:rsidRPr="002F4596">
        <w:t xml:space="preserve">, CysLT1 reseptörüne yüksek afinite ve seçicilikle bağlanan, oral aktif bir bileşendir. Klinik çalışmalarda, 5 mg gibi düşük dozlarda </w:t>
      </w:r>
      <w:proofErr w:type="spellStart"/>
      <w:r w:rsidRPr="002F4596">
        <w:t>montelukast</w:t>
      </w:r>
      <w:proofErr w:type="spellEnd"/>
      <w:r w:rsidRPr="002F4596">
        <w:t xml:space="preserve">, LTD4 solunması nedeniyle gelişen </w:t>
      </w:r>
      <w:proofErr w:type="spellStart"/>
      <w:r w:rsidRPr="002F4596">
        <w:t>bronkokonstriksiyonu</w:t>
      </w:r>
      <w:proofErr w:type="spellEnd"/>
      <w:r w:rsidRPr="002F4596">
        <w:t xml:space="preserve"> inhibisyona uğratmaktadır. Oral uygulamadan sonraki 2 saat içinde </w:t>
      </w:r>
      <w:proofErr w:type="spellStart"/>
      <w:r w:rsidRPr="002F4596">
        <w:t>bronkodilastasyon</w:t>
      </w:r>
      <w:proofErr w:type="spellEnd"/>
      <w:r w:rsidRPr="002F4596">
        <w:t xml:space="preserve"> gözlemlenmiştir. Bir β-agonistinin neden olduğu bronkodilatasyon etkisi, </w:t>
      </w:r>
      <w:proofErr w:type="spellStart"/>
      <w:r w:rsidRPr="002F4596">
        <w:t>montelukastın</w:t>
      </w:r>
      <w:proofErr w:type="spellEnd"/>
      <w:r w:rsidRPr="002F4596">
        <w:t xml:space="preserve"> neden olduğu etkiye </w:t>
      </w:r>
      <w:proofErr w:type="spellStart"/>
      <w:r w:rsidRPr="002F4596">
        <w:t>aditiftir</w:t>
      </w:r>
      <w:proofErr w:type="spellEnd"/>
      <w:r w:rsidRPr="002F4596">
        <w:t xml:space="preserve">. </w:t>
      </w:r>
      <w:proofErr w:type="spellStart"/>
      <w:r w:rsidRPr="002F4596">
        <w:t>Montelukast</w:t>
      </w:r>
      <w:proofErr w:type="spellEnd"/>
      <w:r w:rsidRPr="002F4596">
        <w:t xml:space="preserve"> tedavisi, antijen zorlaması kaynaklı hem erken hem de geç evre </w:t>
      </w:r>
      <w:proofErr w:type="spellStart"/>
      <w:r w:rsidRPr="002F4596">
        <w:t>bronkokonstriksiyonu</w:t>
      </w:r>
      <w:proofErr w:type="spellEnd"/>
      <w:r w:rsidRPr="002F4596">
        <w:t xml:space="preserve"> inhibisyona uğratmıştır. </w:t>
      </w:r>
      <w:proofErr w:type="spellStart"/>
      <w:r w:rsidRPr="002F4596">
        <w:t>Montelukast</w:t>
      </w:r>
      <w:proofErr w:type="spellEnd"/>
      <w:r w:rsidRPr="002F4596">
        <w:t xml:space="preserve"> plaseboyla karşılaştırıldığında erişkin ve pediyatrik hastalarda periferik kan eozinofillerini azaltmıştır. Ayrı bir çalışmada, </w:t>
      </w:r>
      <w:proofErr w:type="spellStart"/>
      <w:r w:rsidRPr="002F4596">
        <w:t>montelukast</w:t>
      </w:r>
      <w:proofErr w:type="spellEnd"/>
      <w:r w:rsidRPr="002F4596">
        <w:t xml:space="preserve"> tedavisi hava yollarında (balgamda ölçülen) ve periferik kanda eozinofillerini azaltırken klinik astım kontrolünü artırmıştır.</w:t>
      </w:r>
    </w:p>
    <w:p w14:paraId="60A93819" w14:textId="6B1DDE9D" w:rsidR="001C598F" w:rsidRPr="002F4596" w:rsidRDefault="001C598F" w:rsidP="001C598F">
      <w:pPr>
        <w:pStyle w:val="GvdeMetni"/>
        <w:spacing w:before="5"/>
        <w:ind w:left="284" w:hanging="34"/>
        <w:jc w:val="both"/>
      </w:pPr>
      <w:r w:rsidRPr="002F4596">
        <w:t xml:space="preserve">Klinik etkililik ve güvenlilik Erişkinlerde yapılan çalışmalarda, günde bir kez 10 mg </w:t>
      </w:r>
      <w:proofErr w:type="spellStart"/>
      <w:r w:rsidRPr="002F4596">
        <w:t>montelukast</w:t>
      </w:r>
      <w:proofErr w:type="spellEnd"/>
      <w:r w:rsidRPr="002F4596">
        <w:t xml:space="preserve"> plaseboyla karşılaştırıldığında sabah FEV1 (</w:t>
      </w:r>
      <w:proofErr w:type="spellStart"/>
      <w:r w:rsidRPr="002F4596">
        <w:t>bazala</w:t>
      </w:r>
      <w:proofErr w:type="spellEnd"/>
      <w:r w:rsidRPr="002F4596">
        <w:t xml:space="preserve"> göre %10,4'e karşı %2,7 değişim) ve sabah pik ekspiratuar akım hızında (</w:t>
      </w:r>
      <w:proofErr w:type="spellStart"/>
      <w:r w:rsidRPr="002F4596">
        <w:t>bazala</w:t>
      </w:r>
      <w:proofErr w:type="spellEnd"/>
      <w:r w:rsidRPr="002F4596">
        <w:t xml:space="preserve"> göre 24,5 L/</w:t>
      </w:r>
      <w:proofErr w:type="spellStart"/>
      <w:r w:rsidRPr="002F4596">
        <w:t>dk.'ya</w:t>
      </w:r>
      <w:proofErr w:type="spellEnd"/>
      <w:r w:rsidRPr="002F4596">
        <w:t xml:space="preserve"> karşı 3,3 L/dk. değişim) belirgin iyileşme, toplam β-agonist kullanımında belirgin düşüş (</w:t>
      </w:r>
      <w:proofErr w:type="spellStart"/>
      <w:r w:rsidRPr="002F4596">
        <w:t>bazala</w:t>
      </w:r>
      <w:proofErr w:type="spellEnd"/>
      <w:r w:rsidRPr="002F4596">
        <w:t xml:space="preserve"> </w:t>
      </w:r>
      <w:proofErr w:type="gramStart"/>
      <w:r w:rsidRPr="002F4596">
        <w:t>göre -</w:t>
      </w:r>
      <w:proofErr w:type="gramEnd"/>
      <w:r w:rsidRPr="002F4596">
        <w:t xml:space="preserve">%26,1'e </w:t>
      </w:r>
      <w:proofErr w:type="gramStart"/>
      <w:r w:rsidRPr="002F4596">
        <w:t>karşı -</w:t>
      </w:r>
      <w:proofErr w:type="gramEnd"/>
      <w:r w:rsidRPr="002F4596">
        <w:t xml:space="preserve">%4,6 değişim) sağlamıştır. Hastaların bildirdiği gündüz ve gece astım </w:t>
      </w:r>
      <w:r w:rsidRPr="002F4596">
        <w:lastRenderedPageBreak/>
        <w:t xml:space="preserve">semptomu skorlarındaki iyileşme plaseboya göre belirgin biçimde daha iyidir. Erişkinlerde yapılan çalışmalarda, </w:t>
      </w:r>
      <w:proofErr w:type="spellStart"/>
      <w:r w:rsidRPr="002F4596">
        <w:t>montelukastın</w:t>
      </w:r>
      <w:proofErr w:type="spellEnd"/>
      <w:r w:rsidRPr="002F4596">
        <w:t xml:space="preserve"> inhalasyon kortikosteroidlerinin klinik etkisine katkıda bulunma becerisi kanıtlanmıştır (</w:t>
      </w:r>
      <w:proofErr w:type="spellStart"/>
      <w:r w:rsidRPr="002F4596">
        <w:t>bazala</w:t>
      </w:r>
      <w:proofErr w:type="spellEnd"/>
      <w:r w:rsidRPr="002F4596">
        <w:t xml:space="preserve"> göre </w:t>
      </w:r>
      <w:proofErr w:type="spellStart"/>
      <w:r w:rsidRPr="002F4596">
        <w:t>beklometazon</w:t>
      </w:r>
      <w:proofErr w:type="spellEnd"/>
      <w:r w:rsidRPr="002F4596">
        <w:t xml:space="preserve"> inhalasyonu + </w:t>
      </w:r>
      <w:proofErr w:type="spellStart"/>
      <w:r w:rsidRPr="002F4596">
        <w:t>montelukasta</w:t>
      </w:r>
      <w:proofErr w:type="spellEnd"/>
      <w:r w:rsidRPr="002F4596">
        <w:t xml:space="preserve"> karşı </w:t>
      </w:r>
      <w:proofErr w:type="spellStart"/>
      <w:r w:rsidRPr="002F4596">
        <w:t>beklometazon</w:t>
      </w:r>
      <w:proofErr w:type="spellEnd"/>
      <w:r w:rsidRPr="002F4596">
        <w:t xml:space="preserve"> için </w:t>
      </w:r>
      <w:proofErr w:type="spellStart"/>
      <w:r w:rsidRPr="002F4596">
        <w:t>bazala</w:t>
      </w:r>
      <w:proofErr w:type="spellEnd"/>
      <w:r w:rsidRPr="002F4596">
        <w:t xml:space="preserve"> göre değişim %, sırasıyla FEV1: %5,43'e %1,04; β-agonist kullanımı</w:t>
      </w:r>
      <w:proofErr w:type="gramStart"/>
      <w:r w:rsidRPr="002F4596">
        <w:t>: -</w:t>
      </w:r>
      <w:proofErr w:type="gramEnd"/>
      <w:r w:rsidRPr="002F4596">
        <w:t xml:space="preserve">%8,70'e %2,64). </w:t>
      </w:r>
      <w:proofErr w:type="spellStart"/>
      <w:r w:rsidRPr="002F4596">
        <w:t>Beklometazon</w:t>
      </w:r>
      <w:proofErr w:type="spellEnd"/>
      <w:r w:rsidRPr="002F4596">
        <w:t xml:space="preserve"> inhalasyonuyla (inhalasyon cihazı yoluyla günde iki kez 200 </w:t>
      </w:r>
      <w:proofErr w:type="spellStart"/>
      <w:r w:rsidRPr="002F4596">
        <w:t>μg</w:t>
      </w:r>
      <w:proofErr w:type="spellEnd"/>
      <w:r w:rsidRPr="002F4596">
        <w:t xml:space="preserve">) karşılaştırıldığında, </w:t>
      </w:r>
      <w:proofErr w:type="spellStart"/>
      <w:r w:rsidRPr="002F4596">
        <w:t>montelukast</w:t>
      </w:r>
      <w:proofErr w:type="spellEnd"/>
      <w:r w:rsidRPr="002F4596">
        <w:t xml:space="preserve"> daha hızlı ilk yanıt göstermiştir ancak 12 haftalık çalışmada </w:t>
      </w:r>
      <w:proofErr w:type="spellStart"/>
      <w:r w:rsidRPr="002F4596">
        <w:t>beklometazon</w:t>
      </w:r>
      <w:proofErr w:type="spellEnd"/>
      <w:r w:rsidRPr="002F4596">
        <w:t xml:space="preserve"> daha yüksek ortalama tedavi etkisi göstermiştir (</w:t>
      </w:r>
      <w:proofErr w:type="spellStart"/>
      <w:r w:rsidRPr="002F4596">
        <w:t>montelukasta</w:t>
      </w:r>
      <w:proofErr w:type="spellEnd"/>
      <w:r w:rsidRPr="002F4596">
        <w:t xml:space="preserve"> karşı </w:t>
      </w:r>
      <w:proofErr w:type="spellStart"/>
      <w:r w:rsidRPr="002F4596">
        <w:t>beklometazon</w:t>
      </w:r>
      <w:proofErr w:type="spellEnd"/>
      <w:r w:rsidRPr="002F4596">
        <w:t xml:space="preserve"> için </w:t>
      </w:r>
      <w:proofErr w:type="spellStart"/>
      <w:r w:rsidRPr="002F4596">
        <w:t>bazala</w:t>
      </w:r>
      <w:proofErr w:type="spellEnd"/>
      <w:r w:rsidRPr="002F4596">
        <w:t xml:space="preserve"> göre değişim %, sırasıyla FEV1: %7,49'a </w:t>
      </w:r>
      <w:proofErr w:type="gramStart"/>
      <w:r w:rsidRPr="002F4596">
        <w:t>%13.3</w:t>
      </w:r>
      <w:proofErr w:type="gramEnd"/>
      <w:r w:rsidRPr="002F4596">
        <w:t>; β-agonist kullanımı</w:t>
      </w:r>
      <w:proofErr w:type="gramStart"/>
      <w:r w:rsidRPr="002F4596">
        <w:t>: -</w:t>
      </w:r>
      <w:proofErr w:type="gramEnd"/>
      <w:r w:rsidRPr="002F4596">
        <w:t>%28,</w:t>
      </w:r>
      <w:proofErr w:type="gramStart"/>
      <w:r w:rsidRPr="002F4596">
        <w:t>28'e -</w:t>
      </w:r>
      <w:proofErr w:type="gramEnd"/>
      <w:r w:rsidRPr="002F4596">
        <w:t xml:space="preserve"> %43,89). Ancak, </w:t>
      </w:r>
      <w:proofErr w:type="spellStart"/>
      <w:r w:rsidRPr="002F4596">
        <w:t>beklometazonla</w:t>
      </w:r>
      <w:proofErr w:type="spellEnd"/>
      <w:r w:rsidRPr="002F4596">
        <w:t xml:space="preserve"> karşılaştırıldığında yüksek bir hasta yüzdesi </w:t>
      </w:r>
      <w:proofErr w:type="spellStart"/>
      <w:r w:rsidRPr="002F4596">
        <w:t>montelukastla</w:t>
      </w:r>
      <w:proofErr w:type="spellEnd"/>
      <w:r w:rsidRPr="002F4596">
        <w:t xml:space="preserve"> benzer klinik yanıtlara ulaşmıştır (</w:t>
      </w:r>
      <w:proofErr w:type="spellStart"/>
      <w:r w:rsidRPr="002F4596">
        <w:t>örn</w:t>
      </w:r>
      <w:proofErr w:type="spellEnd"/>
      <w:r w:rsidRPr="002F4596">
        <w:t xml:space="preserve">. </w:t>
      </w:r>
      <w:proofErr w:type="spellStart"/>
      <w:r w:rsidRPr="002F4596">
        <w:t>beklometazonla</w:t>
      </w:r>
      <w:proofErr w:type="spellEnd"/>
      <w:r w:rsidRPr="002F4596">
        <w:t xml:space="preserve"> tedavi edilen hastaların %50'si FEV1'de </w:t>
      </w:r>
      <w:proofErr w:type="spellStart"/>
      <w:r w:rsidRPr="002F4596">
        <w:t>bazala</w:t>
      </w:r>
      <w:proofErr w:type="spellEnd"/>
      <w:r w:rsidRPr="002F4596">
        <w:t xml:space="preserve"> göre yaklaşık %11 veya daha yüksek iyileşmeye ulaşırken, </w:t>
      </w:r>
      <w:proofErr w:type="spellStart"/>
      <w:r w:rsidRPr="002F4596">
        <w:t>montelukastla</w:t>
      </w:r>
      <w:proofErr w:type="spellEnd"/>
      <w:r w:rsidRPr="002F4596">
        <w:t xml:space="preserve"> tedavi edilen hastaların %42'si aynı yanıta ulaşmıştır).</w:t>
      </w:r>
    </w:p>
    <w:p w14:paraId="1ABC438F" w14:textId="77777777" w:rsidR="001C598F" w:rsidRPr="002F4596" w:rsidRDefault="001C598F" w:rsidP="001C598F">
      <w:pPr>
        <w:pStyle w:val="GvdeMetni"/>
        <w:spacing w:before="5"/>
        <w:ind w:left="284" w:hanging="34"/>
        <w:jc w:val="both"/>
      </w:pPr>
    </w:p>
    <w:p w14:paraId="0428CBCD" w14:textId="77777777" w:rsidR="001C598F" w:rsidRPr="002F4596" w:rsidRDefault="001C598F" w:rsidP="001C598F">
      <w:pPr>
        <w:pStyle w:val="GvdeMetni"/>
        <w:spacing w:before="5"/>
        <w:ind w:left="284" w:hanging="34"/>
        <w:jc w:val="both"/>
      </w:pPr>
      <w:r w:rsidRPr="002F4596">
        <w:t xml:space="preserve">Erişkinlerde ve 15 yaş ve üzeri adolesan mevsimsel alerjik </w:t>
      </w:r>
      <w:proofErr w:type="spellStart"/>
      <w:r w:rsidRPr="002F4596">
        <w:t>rinitin</w:t>
      </w:r>
      <w:proofErr w:type="spellEnd"/>
      <w:r w:rsidRPr="002F4596">
        <w:t xml:space="preserve"> eşlik ettiği astımlı hastalarda mevsimsel semptomatik tedavisi için </w:t>
      </w:r>
      <w:proofErr w:type="spellStart"/>
      <w:r w:rsidRPr="002F4596">
        <w:t>montelukastı</w:t>
      </w:r>
      <w:proofErr w:type="spellEnd"/>
      <w:r w:rsidRPr="002F4596">
        <w:t xml:space="preserve"> değerlendiren bir klinik çalışma yapıldı. Bu çalışmada, günde bir kez alınan </w:t>
      </w:r>
      <w:proofErr w:type="spellStart"/>
      <w:r w:rsidRPr="002F4596">
        <w:t>montelukast</w:t>
      </w:r>
      <w:proofErr w:type="spellEnd"/>
      <w:r w:rsidRPr="002F4596">
        <w:t xml:space="preserve"> 10 mg tabletler, Günlük </w:t>
      </w:r>
      <w:proofErr w:type="spellStart"/>
      <w:r w:rsidRPr="002F4596">
        <w:t>Rinit</w:t>
      </w:r>
      <w:proofErr w:type="spellEnd"/>
      <w:r w:rsidRPr="002F4596">
        <w:t xml:space="preserve"> Belirtileri skorunda, plaseboya kıyasla istatistiksel olarak anlamlı bir gelişme göstermiştir. Günlük </w:t>
      </w:r>
      <w:proofErr w:type="spellStart"/>
      <w:r w:rsidRPr="002F4596">
        <w:t>Rinit</w:t>
      </w:r>
      <w:proofErr w:type="spellEnd"/>
      <w:r w:rsidRPr="002F4596">
        <w:t xml:space="preserve"> Belirtileri skoru, Gündüz Nazal Belirtileri skoru (burun tıkanıklığı, burun akıntısı, hapşırma, burun kaşıntısı ortalaması) ve Gece Belirtileri skoru (uyanışta burun tıkanıklığı ortalaması, uykuya dalma zorluğu ve gece uyanışı puanları ortalaması) </w:t>
      </w:r>
      <w:proofErr w:type="gramStart"/>
      <w:r w:rsidRPr="002F4596">
        <w:t>ortalamasıdır .</w:t>
      </w:r>
      <w:proofErr w:type="gramEnd"/>
      <w:r w:rsidRPr="002F4596">
        <w:t xml:space="preserve"> Alerjik </w:t>
      </w:r>
      <w:proofErr w:type="spellStart"/>
      <w:r w:rsidRPr="002F4596">
        <w:t>rinitin</w:t>
      </w:r>
      <w:proofErr w:type="spellEnd"/>
      <w:r w:rsidRPr="002F4596">
        <w:t xml:space="preserve"> hastalar ve doktorlar tarafından yapılan global değerlendirmeleri, plaseboya kıyasla anlamlı şekilde iyileştirildi. Bu çalışmada astım etkililiğinin değerlendirilmesi birincil bir amaç değildi. </w:t>
      </w:r>
    </w:p>
    <w:p w14:paraId="688D034D" w14:textId="77777777" w:rsidR="001C598F" w:rsidRPr="002F4596" w:rsidRDefault="001C598F" w:rsidP="001C598F">
      <w:pPr>
        <w:pStyle w:val="GvdeMetni"/>
        <w:spacing w:before="5"/>
        <w:ind w:left="284" w:hanging="34"/>
        <w:jc w:val="both"/>
      </w:pPr>
    </w:p>
    <w:p w14:paraId="44186E6E" w14:textId="77777777" w:rsidR="001C598F" w:rsidRPr="002F4596" w:rsidRDefault="001C598F" w:rsidP="001C598F">
      <w:pPr>
        <w:pStyle w:val="GvdeMetni"/>
        <w:spacing w:before="5"/>
        <w:ind w:left="284" w:hanging="34"/>
        <w:jc w:val="both"/>
      </w:pPr>
      <w:r w:rsidRPr="002F4596">
        <w:t xml:space="preserve">6 ila 14 yaşındaki pediyatrik hastalarda yapılan 8 haftalık bir çalışmada, günde bir kez 5 mg </w:t>
      </w:r>
      <w:proofErr w:type="spellStart"/>
      <w:r w:rsidRPr="002F4596">
        <w:t>montelukast</w:t>
      </w:r>
      <w:proofErr w:type="spellEnd"/>
      <w:r w:rsidRPr="002F4596">
        <w:t xml:space="preserve"> plaseboyla karşılaştırıldığında solunum işlevini belirgin biçimde iyileştirmiş (FEV1'de </w:t>
      </w:r>
      <w:proofErr w:type="spellStart"/>
      <w:r w:rsidRPr="002F4596">
        <w:t>bazala</w:t>
      </w:r>
      <w:proofErr w:type="spellEnd"/>
      <w:r w:rsidRPr="002F4596">
        <w:t xml:space="preserve"> göre %8,71'e %4,16 değişim) ve "gerektikçe" β-agonist kullanımını azaltmıştır (</w:t>
      </w:r>
      <w:proofErr w:type="spellStart"/>
      <w:r w:rsidRPr="002F4596">
        <w:t>bazala</w:t>
      </w:r>
      <w:proofErr w:type="spellEnd"/>
      <w:r w:rsidRPr="002F4596">
        <w:t xml:space="preserve"> </w:t>
      </w:r>
      <w:proofErr w:type="gramStart"/>
      <w:r w:rsidRPr="002F4596">
        <w:t>göre -</w:t>
      </w:r>
      <w:proofErr w:type="gramEnd"/>
      <w:r w:rsidRPr="002F4596">
        <w:t xml:space="preserve">%11,7'ye +%8,2 değişim). </w:t>
      </w:r>
    </w:p>
    <w:p w14:paraId="67514A36" w14:textId="77777777" w:rsidR="001C598F" w:rsidRPr="002F4596" w:rsidRDefault="001C598F" w:rsidP="001C598F">
      <w:pPr>
        <w:pStyle w:val="GvdeMetni"/>
        <w:spacing w:before="5"/>
        <w:ind w:left="284" w:hanging="34"/>
        <w:jc w:val="both"/>
      </w:pPr>
    </w:p>
    <w:p w14:paraId="22B380CA" w14:textId="2BEADD24" w:rsidR="001C598F" w:rsidRPr="002F4596" w:rsidRDefault="001C598F" w:rsidP="001C598F">
      <w:pPr>
        <w:pStyle w:val="GvdeMetni"/>
        <w:spacing w:before="5"/>
        <w:ind w:left="284" w:hanging="34"/>
        <w:jc w:val="both"/>
      </w:pPr>
      <w:r w:rsidRPr="002F4596">
        <w:t xml:space="preserve">Erişkinlerde yapılan 12 haftalık bir çalışmada, egzersiz </w:t>
      </w:r>
      <w:proofErr w:type="spellStart"/>
      <w:r w:rsidRPr="002F4596">
        <w:t>indüklü</w:t>
      </w:r>
      <w:proofErr w:type="spellEnd"/>
      <w:r w:rsidRPr="002F4596">
        <w:t xml:space="preserve"> </w:t>
      </w:r>
      <w:proofErr w:type="spellStart"/>
      <w:r w:rsidRPr="002F4596">
        <w:t>bronkokonstriksiyonda</w:t>
      </w:r>
      <w:proofErr w:type="spellEnd"/>
      <w:r w:rsidRPr="002F4596">
        <w:t xml:space="preserve"> (EİB) belirgin düşüş görülmüştür (FEV1'de maksimum düşüş </w:t>
      </w:r>
      <w:proofErr w:type="spellStart"/>
      <w:r w:rsidRPr="002F4596">
        <w:t>montelukast</w:t>
      </w:r>
      <w:proofErr w:type="spellEnd"/>
      <w:r w:rsidRPr="002F4596">
        <w:t xml:space="preserve"> için %22,33, plasebo için %32,40; bazal FEV1'in %5'ine iyileşme süresi 44,22 </w:t>
      </w:r>
      <w:proofErr w:type="spellStart"/>
      <w:r w:rsidRPr="002F4596">
        <w:t>dk.'ya</w:t>
      </w:r>
      <w:proofErr w:type="spellEnd"/>
      <w:r w:rsidRPr="002F4596">
        <w:t xml:space="preserve"> karşı 60,64 dk.). Pediyatrik hastalarda yapılan kısa süreli bir çalışmada da </w:t>
      </w:r>
      <w:proofErr w:type="spellStart"/>
      <w:r w:rsidRPr="002F4596">
        <w:t>EİB'de</w:t>
      </w:r>
      <w:proofErr w:type="spellEnd"/>
      <w:r w:rsidRPr="002F4596">
        <w:t xml:space="preserve"> düşüş görülmüştür (FEV1'de maksimum düşüş </w:t>
      </w:r>
      <w:proofErr w:type="spellStart"/>
      <w:r w:rsidRPr="002F4596">
        <w:t>montelukast</w:t>
      </w:r>
      <w:proofErr w:type="spellEnd"/>
      <w:r w:rsidRPr="002F4596">
        <w:t xml:space="preserve"> için %18,27'ye %26,11; bazal FEV1'in %5'ine iyileşme süresi 17,76 </w:t>
      </w:r>
      <w:proofErr w:type="spellStart"/>
      <w:r w:rsidRPr="002F4596">
        <w:t>dk.'ya</w:t>
      </w:r>
      <w:proofErr w:type="spellEnd"/>
      <w:r w:rsidRPr="002F4596">
        <w:t xml:space="preserve"> karşı 27,98 dk.). Her iki çalışmadaki etki, günde bir kez doz uygulaması aralığının sonunda kanıtlanmıştır. Aspirine duyarlı ve eşzamanlı olarak kortikosteroid inhalasyonu ve/veya oral kortikosteroid alan astım hastalarında, </w:t>
      </w:r>
      <w:proofErr w:type="spellStart"/>
      <w:r w:rsidRPr="002F4596">
        <w:t>montelukast</w:t>
      </w:r>
      <w:proofErr w:type="spellEnd"/>
      <w:r w:rsidRPr="002F4596">
        <w:t xml:space="preserve"> tedavisi plaseboyla karşılaştırıldığında astım kontrolünde belirgin iyileşmeyle sonuçlanmıştır (FEV1'de </w:t>
      </w:r>
      <w:proofErr w:type="spellStart"/>
      <w:r w:rsidRPr="002F4596">
        <w:t>bazala</w:t>
      </w:r>
      <w:proofErr w:type="spellEnd"/>
      <w:r w:rsidRPr="002F4596">
        <w:t xml:space="preserve"> göre %8,</w:t>
      </w:r>
      <w:proofErr w:type="gramStart"/>
      <w:r w:rsidRPr="002F4596">
        <w:t>55'e -</w:t>
      </w:r>
      <w:proofErr w:type="gramEnd"/>
      <w:r w:rsidRPr="002F4596">
        <w:t xml:space="preserve">%1,74 değişim, toplam β-agonisti kullanımında </w:t>
      </w:r>
      <w:proofErr w:type="spellStart"/>
      <w:r w:rsidRPr="002F4596">
        <w:t>bazala</w:t>
      </w:r>
      <w:proofErr w:type="spellEnd"/>
      <w:r w:rsidRPr="002F4596">
        <w:t xml:space="preserve"> </w:t>
      </w:r>
      <w:proofErr w:type="gramStart"/>
      <w:r w:rsidRPr="002F4596">
        <w:t>göre -</w:t>
      </w:r>
      <w:proofErr w:type="gramEnd"/>
      <w:r w:rsidRPr="002F4596">
        <w:t>%27,78'e karşı %2,09 değişim).</w:t>
      </w:r>
    </w:p>
    <w:p w14:paraId="6C3285F7" w14:textId="694A5767" w:rsidR="00864BED" w:rsidRPr="002F4596" w:rsidRDefault="00864BED" w:rsidP="001C598F">
      <w:pPr>
        <w:pStyle w:val="GvdeMetni"/>
        <w:spacing w:before="5"/>
        <w:ind w:left="284" w:hanging="34"/>
        <w:jc w:val="both"/>
      </w:pPr>
    </w:p>
    <w:p w14:paraId="224A55EC" w14:textId="77777777" w:rsidR="00864BED" w:rsidRPr="002F4596" w:rsidRDefault="00864BED" w:rsidP="00864BED">
      <w:pPr>
        <w:spacing w:before="1"/>
        <w:ind w:left="250"/>
        <w:jc w:val="both"/>
        <w:rPr>
          <w:i/>
          <w:sz w:val="24"/>
          <w:szCs w:val="24"/>
        </w:rPr>
      </w:pPr>
      <w:proofErr w:type="spellStart"/>
      <w:r w:rsidRPr="002F4596">
        <w:rPr>
          <w:i/>
          <w:sz w:val="24"/>
          <w:szCs w:val="24"/>
        </w:rPr>
        <w:t>Desloratadin</w:t>
      </w:r>
      <w:proofErr w:type="spellEnd"/>
      <w:r w:rsidRPr="002F4596">
        <w:rPr>
          <w:i/>
          <w:sz w:val="24"/>
          <w:szCs w:val="24"/>
        </w:rPr>
        <w:t xml:space="preserve"> / </w:t>
      </w:r>
      <w:proofErr w:type="spellStart"/>
      <w:r w:rsidRPr="002F4596">
        <w:rPr>
          <w:i/>
          <w:sz w:val="24"/>
          <w:szCs w:val="24"/>
        </w:rPr>
        <w:t>Montelukast</w:t>
      </w:r>
      <w:proofErr w:type="spellEnd"/>
    </w:p>
    <w:p w14:paraId="18CEF2F6" w14:textId="77777777" w:rsidR="00864BED" w:rsidRPr="002F4596" w:rsidRDefault="00864BED" w:rsidP="00864BED">
      <w:pPr>
        <w:pStyle w:val="GvdeMetni"/>
        <w:ind w:right="104"/>
        <w:jc w:val="both"/>
      </w:pPr>
      <w:proofErr w:type="spellStart"/>
      <w:r w:rsidRPr="002F4596">
        <w:t>Persistant</w:t>
      </w:r>
      <w:proofErr w:type="spellEnd"/>
      <w:r w:rsidRPr="002F4596">
        <w:t xml:space="preserve"> alerjik </w:t>
      </w:r>
      <w:proofErr w:type="spellStart"/>
      <w:r w:rsidRPr="002F4596">
        <w:t>rinitli</w:t>
      </w:r>
      <w:proofErr w:type="spellEnd"/>
      <w:r w:rsidRPr="002F4596">
        <w:t xml:space="preserve"> hastalar </w:t>
      </w:r>
      <w:proofErr w:type="spellStart"/>
      <w:r w:rsidRPr="002F4596">
        <w:t>desloratadin</w:t>
      </w:r>
      <w:proofErr w:type="spellEnd"/>
      <w:r w:rsidRPr="002F4596">
        <w:t xml:space="preserve">, </w:t>
      </w:r>
      <w:proofErr w:type="spellStart"/>
      <w:r w:rsidRPr="002F4596">
        <w:t>montelukastla</w:t>
      </w:r>
      <w:proofErr w:type="spellEnd"/>
      <w:r w:rsidRPr="002F4596">
        <w:t xml:space="preserve"> tek ya da kombine olarak 6 haftalık tedaviye alınmıştır. 20 hasta 10 mg/gün </w:t>
      </w:r>
      <w:proofErr w:type="spellStart"/>
      <w:r w:rsidRPr="002F4596">
        <w:t>montelukast</w:t>
      </w:r>
      <w:proofErr w:type="spellEnd"/>
      <w:r w:rsidRPr="002F4596">
        <w:t xml:space="preserve"> ve/veya 5 mg/gün </w:t>
      </w:r>
      <w:proofErr w:type="spellStart"/>
      <w:r w:rsidRPr="002F4596">
        <w:t>desloratadin</w:t>
      </w:r>
      <w:proofErr w:type="spellEnd"/>
      <w:r w:rsidRPr="002F4596">
        <w:t xml:space="preserve"> ya da plasebo almıştır. Tedavi periyotları 2 haftalık tedavi yapılmayan dönemlerle ayrılmıştır. Hastalara, semptom skorlama, deri </w:t>
      </w:r>
      <w:proofErr w:type="spellStart"/>
      <w:r w:rsidRPr="002F4596">
        <w:t>prick</w:t>
      </w:r>
      <w:proofErr w:type="spellEnd"/>
      <w:r w:rsidRPr="002F4596">
        <w:t xml:space="preserve"> testi, </w:t>
      </w:r>
      <w:proofErr w:type="spellStart"/>
      <w:r w:rsidRPr="002F4596">
        <w:t>spirometri</w:t>
      </w:r>
      <w:proofErr w:type="spellEnd"/>
      <w:r w:rsidRPr="002F4596">
        <w:t xml:space="preserve"> testi, </w:t>
      </w:r>
      <w:proofErr w:type="spellStart"/>
      <w:r w:rsidRPr="002F4596">
        <w:t>rinometri</w:t>
      </w:r>
      <w:proofErr w:type="spellEnd"/>
      <w:r w:rsidRPr="002F4596">
        <w:t xml:space="preserve"> testi ve nazal lavaj yapılmıştır. Eozinofil katyonik protein seviyeleri nazal lavajla tespit edilmiştir. Ortalama SD total temel nazal semptom skoru tedaviden önce 7.7 +/- 0.55 iken </w:t>
      </w:r>
      <w:proofErr w:type="spellStart"/>
      <w:r w:rsidRPr="002F4596">
        <w:t>desloratadinle</w:t>
      </w:r>
      <w:proofErr w:type="spellEnd"/>
      <w:r w:rsidRPr="002F4596">
        <w:t xml:space="preserve"> 3.74 +/- 0.54, </w:t>
      </w:r>
      <w:proofErr w:type="spellStart"/>
      <w:r w:rsidRPr="002F4596">
        <w:t>montelukastla</w:t>
      </w:r>
      <w:proofErr w:type="spellEnd"/>
      <w:r w:rsidRPr="002F4596">
        <w:t xml:space="preserve"> 3.6+/- 0.48 ve </w:t>
      </w:r>
      <w:proofErr w:type="spellStart"/>
      <w:r w:rsidRPr="002F4596">
        <w:t>desloratadin</w:t>
      </w:r>
      <w:proofErr w:type="spellEnd"/>
      <w:r w:rsidRPr="002F4596">
        <w:t>/</w:t>
      </w:r>
      <w:proofErr w:type="spellStart"/>
      <w:r w:rsidRPr="002F4596">
        <w:t>montelukast</w:t>
      </w:r>
      <w:proofErr w:type="spellEnd"/>
      <w:r w:rsidRPr="002F4596">
        <w:t xml:space="preserve"> ile kombine kullanımda 3.04 +/- 0.4 bulunmuştur. Nazal semptomlarda en büyük iyileşme kombinasyon tedavisinden sonra oluşmuştur. Eozinofil katyonik protein </w:t>
      </w:r>
      <w:proofErr w:type="gramStart"/>
      <w:r w:rsidRPr="002F4596">
        <w:t>seviyelerinde  düşüş</w:t>
      </w:r>
      <w:proofErr w:type="gramEnd"/>
      <w:r w:rsidRPr="002F4596">
        <w:t xml:space="preserve"> en iyi </w:t>
      </w:r>
      <w:proofErr w:type="spellStart"/>
      <w:r w:rsidRPr="002F4596">
        <w:t>montelukastın</w:t>
      </w:r>
      <w:proofErr w:type="spellEnd"/>
      <w:r w:rsidRPr="002F4596">
        <w:t xml:space="preserve"> </w:t>
      </w:r>
      <w:proofErr w:type="spellStart"/>
      <w:r w:rsidRPr="002F4596">
        <w:t>desloratadin</w:t>
      </w:r>
      <w:proofErr w:type="spellEnd"/>
      <w:r w:rsidRPr="002F4596">
        <w:t xml:space="preserve"> ile kombine kullanımında elde</w:t>
      </w:r>
      <w:r w:rsidRPr="002F4596">
        <w:rPr>
          <w:spacing w:val="-8"/>
        </w:rPr>
        <w:t xml:space="preserve"> </w:t>
      </w:r>
      <w:r w:rsidRPr="002F4596">
        <w:t>edilmiştir.</w:t>
      </w:r>
    </w:p>
    <w:p w14:paraId="564B91FF" w14:textId="77777777" w:rsidR="00864BED" w:rsidRPr="002F4596" w:rsidRDefault="00864BED" w:rsidP="00864BED">
      <w:pPr>
        <w:pStyle w:val="GvdeMetni"/>
        <w:ind w:left="0"/>
        <w:jc w:val="both"/>
      </w:pPr>
    </w:p>
    <w:p w14:paraId="2C2CBA2E" w14:textId="77777777" w:rsidR="00864BED" w:rsidRPr="002F4596" w:rsidRDefault="00864BED" w:rsidP="00864BED">
      <w:pPr>
        <w:pStyle w:val="GvdeMetni"/>
        <w:ind w:right="105"/>
        <w:jc w:val="both"/>
      </w:pPr>
      <w:proofErr w:type="spellStart"/>
      <w:r w:rsidRPr="002F4596">
        <w:lastRenderedPageBreak/>
        <w:t>Persistant</w:t>
      </w:r>
      <w:proofErr w:type="spellEnd"/>
      <w:r w:rsidRPr="002F4596">
        <w:t xml:space="preserve"> alerjik </w:t>
      </w:r>
      <w:proofErr w:type="spellStart"/>
      <w:r w:rsidRPr="002F4596">
        <w:t>rinitli</w:t>
      </w:r>
      <w:proofErr w:type="spellEnd"/>
      <w:r w:rsidRPr="002F4596">
        <w:t xml:space="preserve"> 20 hastada 2 koldan 32 hafta randomize, çift-kör, plasebo kontrollü, çapraz geçişli çalışma yapılmıştır. 20 hasta 10 mg/gün </w:t>
      </w:r>
      <w:proofErr w:type="spellStart"/>
      <w:r w:rsidRPr="002F4596">
        <w:t>montelukast</w:t>
      </w:r>
      <w:proofErr w:type="spellEnd"/>
      <w:r w:rsidRPr="002F4596">
        <w:t xml:space="preserve"> ve/veya 5 mg/gün </w:t>
      </w:r>
      <w:proofErr w:type="spellStart"/>
      <w:r w:rsidRPr="002F4596">
        <w:t>desloratadin</w:t>
      </w:r>
      <w:proofErr w:type="spellEnd"/>
      <w:r w:rsidRPr="002F4596">
        <w:t xml:space="preserve"> ya da plasebo almıştır. Tedavi periyotları 2 haftalık tedavi yapılmayan dönemlere ayrılmıştır. Yaşam kalitesi ölçümlerinde (SEM) plasebo alan hastalarda skor 2.16, </w:t>
      </w:r>
      <w:proofErr w:type="spellStart"/>
      <w:r w:rsidRPr="002F4596">
        <w:t>desloratadin</w:t>
      </w:r>
      <w:proofErr w:type="spellEnd"/>
      <w:r w:rsidRPr="002F4596">
        <w:t xml:space="preserve"> alan hastalarda skor 1.79, </w:t>
      </w:r>
      <w:proofErr w:type="spellStart"/>
      <w:r w:rsidRPr="002F4596">
        <w:t>montelukast</w:t>
      </w:r>
      <w:proofErr w:type="spellEnd"/>
      <w:r w:rsidRPr="002F4596">
        <w:t xml:space="preserve"> alan hastalarda skor 1.48 ve </w:t>
      </w:r>
      <w:proofErr w:type="spellStart"/>
      <w:r w:rsidRPr="002F4596">
        <w:t>desloratadin</w:t>
      </w:r>
      <w:proofErr w:type="spellEnd"/>
      <w:r w:rsidRPr="002F4596">
        <w:t>/</w:t>
      </w:r>
      <w:proofErr w:type="spellStart"/>
      <w:r w:rsidRPr="002F4596">
        <w:t>montelukast</w:t>
      </w:r>
      <w:proofErr w:type="spellEnd"/>
      <w:r w:rsidRPr="002F4596">
        <w:t xml:space="preserve"> alan hastalarda skor 1.59 ölçülmüştür. </w:t>
      </w:r>
      <w:proofErr w:type="spellStart"/>
      <w:r w:rsidRPr="002F4596">
        <w:t>Montelukastın</w:t>
      </w:r>
      <w:proofErr w:type="spellEnd"/>
      <w:r w:rsidRPr="002F4596">
        <w:t xml:space="preserve"> </w:t>
      </w:r>
      <w:proofErr w:type="spellStart"/>
      <w:r w:rsidRPr="002F4596">
        <w:t>desloratadin</w:t>
      </w:r>
      <w:proofErr w:type="spellEnd"/>
      <w:r w:rsidRPr="002F4596">
        <w:t xml:space="preserve"> ile kombine olarak verilmesi monoterapilere kıyasla </w:t>
      </w:r>
      <w:proofErr w:type="spellStart"/>
      <w:r w:rsidRPr="002F4596">
        <w:t>persistant</w:t>
      </w:r>
      <w:proofErr w:type="spellEnd"/>
      <w:r w:rsidRPr="002F4596">
        <w:t xml:space="preserve"> alerjik </w:t>
      </w:r>
      <w:proofErr w:type="spellStart"/>
      <w:r w:rsidRPr="002F4596">
        <w:t>rinitli</w:t>
      </w:r>
      <w:proofErr w:type="spellEnd"/>
      <w:r w:rsidRPr="002F4596">
        <w:t xml:space="preserve"> hastalarda daha iyi etkiler sağlamıştır.</w:t>
      </w:r>
    </w:p>
    <w:p w14:paraId="4AEF48AF" w14:textId="77777777" w:rsidR="00864BED" w:rsidRPr="002F4596" w:rsidRDefault="00864BED" w:rsidP="00864BED">
      <w:pPr>
        <w:pStyle w:val="GvdeMetni"/>
        <w:ind w:left="0"/>
        <w:jc w:val="both"/>
      </w:pPr>
    </w:p>
    <w:p w14:paraId="58C43079" w14:textId="77777777" w:rsidR="00864BED" w:rsidRPr="002F4596" w:rsidRDefault="00864BED" w:rsidP="00864BED">
      <w:pPr>
        <w:pStyle w:val="GvdeMetni"/>
        <w:ind w:right="104"/>
        <w:jc w:val="both"/>
      </w:pPr>
      <w:r w:rsidRPr="002F4596">
        <w:t xml:space="preserve">Mevsimsel alerjik </w:t>
      </w:r>
      <w:proofErr w:type="spellStart"/>
      <w:r w:rsidRPr="002F4596">
        <w:t>riniti</w:t>
      </w:r>
      <w:proofErr w:type="spellEnd"/>
      <w:r w:rsidRPr="002F4596">
        <w:t xml:space="preserve"> ve hafif </w:t>
      </w:r>
      <w:proofErr w:type="spellStart"/>
      <w:r w:rsidRPr="002F4596">
        <w:t>intermittan</w:t>
      </w:r>
      <w:proofErr w:type="spellEnd"/>
      <w:r w:rsidRPr="002F4596">
        <w:t xml:space="preserve"> astımı olan 30 hastada randomize, çift-kör, paralel gruplu çalışma yapılmıştır. Hastalara 2 hafta </w:t>
      </w:r>
      <w:proofErr w:type="spellStart"/>
      <w:r w:rsidRPr="002F4596">
        <w:t>montelukast</w:t>
      </w:r>
      <w:proofErr w:type="spellEnd"/>
      <w:r w:rsidRPr="002F4596">
        <w:t>/</w:t>
      </w:r>
      <w:proofErr w:type="spellStart"/>
      <w:r w:rsidRPr="002F4596">
        <w:t>desloratadin</w:t>
      </w:r>
      <w:proofErr w:type="spellEnd"/>
      <w:r w:rsidRPr="002F4596">
        <w:t xml:space="preserve"> verilmiştir. Tedaviden önce ve sonra hastalara </w:t>
      </w:r>
      <w:proofErr w:type="spellStart"/>
      <w:r w:rsidRPr="002F4596">
        <w:t>spirometri</w:t>
      </w:r>
      <w:proofErr w:type="spellEnd"/>
      <w:r w:rsidRPr="002F4596">
        <w:t xml:space="preserve">, nazal kazıma ve lavaj yapılmıştır. Hastaların nazal semptomları, eozinofil/nötrofil sayıları, IL5 ve IL8 seviyeleri ölçülmüştür. </w:t>
      </w:r>
      <w:proofErr w:type="spellStart"/>
      <w:r w:rsidRPr="002F4596">
        <w:t>Montelukast</w:t>
      </w:r>
      <w:proofErr w:type="spellEnd"/>
      <w:r w:rsidRPr="002F4596">
        <w:t>/</w:t>
      </w:r>
      <w:proofErr w:type="spellStart"/>
      <w:r w:rsidRPr="002F4596">
        <w:t>desloratadin</w:t>
      </w:r>
      <w:proofErr w:type="spellEnd"/>
      <w:r w:rsidRPr="002F4596">
        <w:t xml:space="preserve"> ile kombine kullanım nazal semptomları (p&lt;0.001), eozinofilleri ve nötrofilleri (p&lt;0.001), IL5 seviyesini (p&lt;0.01), IL8 seviyesini (p&lt;0.05) anlamlı şekilde azaltmıştır.</w:t>
      </w:r>
    </w:p>
    <w:p w14:paraId="7984760F" w14:textId="77777777" w:rsidR="00864BED" w:rsidRPr="002F4596" w:rsidRDefault="00864BED" w:rsidP="00864BED">
      <w:pPr>
        <w:pStyle w:val="GvdeMetni"/>
        <w:ind w:left="0"/>
        <w:jc w:val="both"/>
      </w:pPr>
    </w:p>
    <w:p w14:paraId="69B21110" w14:textId="77777777" w:rsidR="00864BED" w:rsidRPr="002F4596" w:rsidRDefault="00864BED" w:rsidP="00864BED">
      <w:pPr>
        <w:pStyle w:val="GvdeMetni"/>
        <w:ind w:right="103"/>
        <w:jc w:val="both"/>
      </w:pPr>
      <w:r w:rsidRPr="002F4596">
        <w:t xml:space="preserve">Hafiften orta dereceye atopik astımı olan 10 hasta randomize, 4-kol çapraz geçişli plasebo kontrollü bir çalışmaya alınmıştır. Çalışmada hastalara plasebo, 5 mg </w:t>
      </w:r>
      <w:proofErr w:type="spellStart"/>
      <w:r w:rsidRPr="002F4596">
        <w:t>desloratadin</w:t>
      </w:r>
      <w:proofErr w:type="spellEnd"/>
      <w:r w:rsidRPr="002F4596">
        <w:t xml:space="preserve">, 10 mg </w:t>
      </w:r>
      <w:proofErr w:type="spellStart"/>
      <w:r w:rsidRPr="002F4596">
        <w:t>montelukast</w:t>
      </w:r>
      <w:proofErr w:type="spellEnd"/>
      <w:r w:rsidRPr="002F4596">
        <w:t xml:space="preserve"> ve 5 mg </w:t>
      </w:r>
      <w:proofErr w:type="spellStart"/>
      <w:r w:rsidRPr="002F4596">
        <w:t>desloratadin</w:t>
      </w:r>
      <w:proofErr w:type="spellEnd"/>
      <w:r w:rsidRPr="002F4596">
        <w:t xml:space="preserve">/10 mg </w:t>
      </w:r>
      <w:proofErr w:type="spellStart"/>
      <w:r w:rsidRPr="002F4596">
        <w:t>montelukast</w:t>
      </w:r>
      <w:proofErr w:type="spellEnd"/>
      <w:r w:rsidRPr="002F4596">
        <w:t xml:space="preserve"> alerjen maruziyetinden 26 saat ve 2 saat önce en az 7 gün boyunca verilmiştir. Geometrik alerjen PC20 ortalaması </w:t>
      </w:r>
      <w:proofErr w:type="spellStart"/>
      <w:r w:rsidRPr="002F4596">
        <w:t>desloratadin</w:t>
      </w:r>
      <w:proofErr w:type="spellEnd"/>
      <w:r w:rsidRPr="002F4596">
        <w:t>/</w:t>
      </w:r>
      <w:proofErr w:type="spellStart"/>
      <w:r w:rsidRPr="002F4596">
        <w:t>montelukast</w:t>
      </w:r>
      <w:proofErr w:type="spellEnd"/>
      <w:r w:rsidRPr="002F4596">
        <w:t xml:space="preserve">, </w:t>
      </w:r>
      <w:proofErr w:type="spellStart"/>
      <w:r w:rsidRPr="002F4596">
        <w:t>desloratadin</w:t>
      </w:r>
      <w:proofErr w:type="spellEnd"/>
      <w:r w:rsidRPr="002F4596">
        <w:t xml:space="preserve">, </w:t>
      </w:r>
      <w:proofErr w:type="spellStart"/>
      <w:r w:rsidRPr="002F4596">
        <w:t>montelukast</w:t>
      </w:r>
      <w:proofErr w:type="spellEnd"/>
      <w:r w:rsidRPr="002F4596">
        <w:t xml:space="preserve"> ve plasebo için sırasıyla 697 µ U/</w:t>
      </w:r>
      <w:proofErr w:type="spellStart"/>
      <w:r w:rsidRPr="002F4596">
        <w:t>mL</w:t>
      </w:r>
      <w:proofErr w:type="spellEnd"/>
      <w:r w:rsidRPr="002F4596">
        <w:t>, 338 U/</w:t>
      </w:r>
      <w:proofErr w:type="spellStart"/>
      <w:r w:rsidRPr="002F4596">
        <w:t>mL</w:t>
      </w:r>
      <w:proofErr w:type="spellEnd"/>
      <w:r w:rsidRPr="002F4596">
        <w:t>, 123 U/</w:t>
      </w:r>
      <w:proofErr w:type="spellStart"/>
      <w:r w:rsidRPr="002F4596">
        <w:t>mL</w:t>
      </w:r>
      <w:proofErr w:type="spellEnd"/>
      <w:r w:rsidRPr="002F4596">
        <w:t xml:space="preserve"> ve 104 U/</w:t>
      </w:r>
      <w:proofErr w:type="spellStart"/>
      <w:r w:rsidRPr="002F4596">
        <w:t>mL</w:t>
      </w:r>
      <w:proofErr w:type="spellEnd"/>
      <w:r w:rsidRPr="002F4596">
        <w:t xml:space="preserve"> bulunmuştur. Plaseboya kıyasla kombine tedavi alerjen PC20 seviyesini anlamlı derecede artırmıştır. </w:t>
      </w:r>
      <w:proofErr w:type="spellStart"/>
      <w:r w:rsidRPr="002F4596">
        <w:t>Montelukast</w:t>
      </w:r>
      <w:proofErr w:type="spellEnd"/>
      <w:r w:rsidRPr="002F4596">
        <w:t xml:space="preserve"> alerjen PC20 seviyesini tek başına </w:t>
      </w:r>
      <w:proofErr w:type="gramStart"/>
      <w:r w:rsidRPr="002F4596">
        <w:t>4.8</w:t>
      </w:r>
      <w:proofErr w:type="gramEnd"/>
      <w:r w:rsidRPr="002F4596">
        <w:t xml:space="preserve"> kat artırırken </w:t>
      </w:r>
      <w:proofErr w:type="spellStart"/>
      <w:r w:rsidRPr="002F4596">
        <w:t>desloratadin</w:t>
      </w:r>
      <w:proofErr w:type="spellEnd"/>
      <w:r w:rsidRPr="002F4596">
        <w:t xml:space="preserve"> ile kombine tedavi </w:t>
      </w:r>
      <w:proofErr w:type="gramStart"/>
      <w:r w:rsidRPr="002F4596">
        <w:t>8.9</w:t>
      </w:r>
      <w:proofErr w:type="gramEnd"/>
      <w:r w:rsidRPr="002F4596">
        <w:t xml:space="preserve"> kat</w:t>
      </w:r>
      <w:r w:rsidRPr="002F4596">
        <w:rPr>
          <w:spacing w:val="-4"/>
        </w:rPr>
        <w:t xml:space="preserve"> </w:t>
      </w:r>
      <w:r w:rsidRPr="002F4596">
        <w:t>artırmıştır.</w:t>
      </w:r>
    </w:p>
    <w:p w14:paraId="6F457724" w14:textId="77777777" w:rsidR="00864BED" w:rsidRPr="002F4596" w:rsidRDefault="00864BED" w:rsidP="00864BED">
      <w:pPr>
        <w:pStyle w:val="GvdeMetni"/>
        <w:ind w:left="0"/>
        <w:jc w:val="both"/>
      </w:pPr>
    </w:p>
    <w:p w14:paraId="56F8823C" w14:textId="77777777" w:rsidR="00864BED" w:rsidRPr="002F4596" w:rsidRDefault="00864BED" w:rsidP="00864BED">
      <w:pPr>
        <w:pStyle w:val="GvdeMetni"/>
        <w:ind w:right="131"/>
        <w:jc w:val="both"/>
      </w:pPr>
      <w:r w:rsidRPr="002F4596">
        <w:t xml:space="preserve">Atopik astımlı 10 hastada alerjen inhalasyonuna maruziyetten 2 saat önce verilen 5 mg </w:t>
      </w:r>
      <w:proofErr w:type="spellStart"/>
      <w:r w:rsidRPr="002F4596">
        <w:t>desloratadin</w:t>
      </w:r>
      <w:proofErr w:type="spellEnd"/>
      <w:r w:rsidRPr="002F4596">
        <w:t xml:space="preserve">/10 mg </w:t>
      </w:r>
      <w:proofErr w:type="spellStart"/>
      <w:r w:rsidRPr="002F4596">
        <w:t>montelukast</w:t>
      </w:r>
      <w:proofErr w:type="spellEnd"/>
      <w:r w:rsidRPr="002F4596">
        <w:t xml:space="preserve"> kombinasyonu ile bunların tek tek uygulanmasını kıyaslayan çok merkezli randomize, çift-kör, çapraz geçişli çalışma yapılmıştır. </w:t>
      </w:r>
      <w:proofErr w:type="spellStart"/>
      <w:r w:rsidRPr="002F4596">
        <w:t>Metakolin</w:t>
      </w:r>
      <w:proofErr w:type="spellEnd"/>
      <w:r w:rsidRPr="002F4596">
        <w:t xml:space="preserve"> uyarımı alerjen maruziyetinden 24 saat önce ve sonra gerçekleştirilmiştir. </w:t>
      </w:r>
      <w:proofErr w:type="spellStart"/>
      <w:r w:rsidRPr="002F4596">
        <w:t>Ekshale</w:t>
      </w:r>
      <w:proofErr w:type="spellEnd"/>
      <w:r w:rsidRPr="002F4596">
        <w:t xml:space="preserve"> nitrik oksit değerleri ve </w:t>
      </w:r>
      <w:proofErr w:type="spellStart"/>
      <w:r w:rsidRPr="002F4596">
        <w:t>sputumdaki</w:t>
      </w:r>
      <w:proofErr w:type="spellEnd"/>
      <w:r w:rsidRPr="002F4596">
        <w:t xml:space="preserve"> </w:t>
      </w:r>
      <w:proofErr w:type="spellStart"/>
      <w:r w:rsidRPr="002F4596">
        <w:t>inflamatuvar</w:t>
      </w:r>
      <w:proofErr w:type="spellEnd"/>
      <w:r w:rsidRPr="002F4596">
        <w:t xml:space="preserve"> hücre sayılarına bakılmıştır. </w:t>
      </w:r>
      <w:proofErr w:type="spellStart"/>
      <w:r w:rsidRPr="002F4596">
        <w:t>Desloratadine</w:t>
      </w:r>
      <w:proofErr w:type="spellEnd"/>
      <w:r w:rsidRPr="002F4596">
        <w:t xml:space="preserve"> ve </w:t>
      </w:r>
      <w:proofErr w:type="spellStart"/>
      <w:r w:rsidRPr="002F4596">
        <w:t>montelukasta</w:t>
      </w:r>
      <w:proofErr w:type="spellEnd"/>
      <w:r w:rsidRPr="002F4596">
        <w:t xml:space="preserve"> kıyasla ilaçların kombine kullanımları </w:t>
      </w:r>
      <w:proofErr w:type="spellStart"/>
      <w:r w:rsidRPr="002F4596">
        <w:t>astmatik</w:t>
      </w:r>
      <w:proofErr w:type="spellEnd"/>
      <w:r w:rsidRPr="002F4596">
        <w:t xml:space="preserve"> yanıtı daha iyi inhibe etmiştir. </w:t>
      </w:r>
      <w:proofErr w:type="spellStart"/>
      <w:r w:rsidRPr="002F4596">
        <w:t>Montelukast</w:t>
      </w:r>
      <w:proofErr w:type="spellEnd"/>
      <w:r w:rsidRPr="002F4596">
        <w:t xml:space="preserve"> </w:t>
      </w:r>
      <w:proofErr w:type="spellStart"/>
      <w:r w:rsidRPr="002F4596">
        <w:t>ekshale</w:t>
      </w:r>
      <w:proofErr w:type="spellEnd"/>
      <w:r w:rsidRPr="002F4596">
        <w:t xml:space="preserve"> NO seviyesini alerjenden 24 saat sonra azaltmıştır. Alerjen etkili </w:t>
      </w:r>
      <w:proofErr w:type="spellStart"/>
      <w:r w:rsidRPr="002F4596">
        <w:t>sputumdaki</w:t>
      </w:r>
      <w:proofErr w:type="spellEnd"/>
      <w:r w:rsidRPr="002F4596">
        <w:t xml:space="preserve"> eozinofil sayısı </w:t>
      </w:r>
      <w:proofErr w:type="spellStart"/>
      <w:r w:rsidRPr="002F4596">
        <w:t>desloratadin</w:t>
      </w:r>
      <w:proofErr w:type="spellEnd"/>
      <w:r w:rsidRPr="002F4596">
        <w:t xml:space="preserve"> ve kombine tedavi ile 7 saatte baskılanırken, </w:t>
      </w:r>
      <w:proofErr w:type="spellStart"/>
      <w:r w:rsidRPr="002F4596">
        <w:t>montelukast</w:t>
      </w:r>
      <w:proofErr w:type="spellEnd"/>
      <w:r w:rsidRPr="002F4596">
        <w:t xml:space="preserve"> ve kombine tedavi ile 24 saatte baskılanmıştır. Tek doz </w:t>
      </w:r>
      <w:proofErr w:type="spellStart"/>
      <w:r w:rsidRPr="002F4596">
        <w:t>desloratadin</w:t>
      </w:r>
      <w:proofErr w:type="spellEnd"/>
      <w:r w:rsidRPr="002F4596">
        <w:t xml:space="preserve"> ve </w:t>
      </w:r>
      <w:proofErr w:type="spellStart"/>
      <w:r w:rsidRPr="002F4596">
        <w:t>montelukastın</w:t>
      </w:r>
      <w:proofErr w:type="spellEnd"/>
      <w:r w:rsidRPr="002F4596">
        <w:t xml:space="preserve"> alerjen maruziyetinden 2 saat önce kombine verilmesinin klinik olarak </w:t>
      </w:r>
      <w:proofErr w:type="spellStart"/>
      <w:r w:rsidRPr="002F4596">
        <w:t>astmatik</w:t>
      </w:r>
      <w:proofErr w:type="spellEnd"/>
      <w:r w:rsidRPr="002F4596">
        <w:t xml:space="preserve"> yanıtı ve eozinofil toplanmasını monoterapilere kıyasla daha iyi ortadan kaldırdığı görülmüştür.</w:t>
      </w:r>
    </w:p>
    <w:p w14:paraId="16A90FD7" w14:textId="77777777" w:rsidR="00864BED" w:rsidRPr="002F4596" w:rsidRDefault="00864BED" w:rsidP="00864BED">
      <w:pPr>
        <w:pStyle w:val="GvdeMetni"/>
        <w:spacing w:before="1"/>
        <w:ind w:left="0"/>
        <w:jc w:val="both"/>
      </w:pPr>
    </w:p>
    <w:p w14:paraId="6ED16EFD" w14:textId="77777777" w:rsidR="00864BED" w:rsidRPr="002F4596" w:rsidRDefault="00864BED" w:rsidP="00864BED">
      <w:pPr>
        <w:pStyle w:val="GvdeMetni"/>
        <w:ind w:right="144"/>
        <w:jc w:val="both"/>
      </w:pPr>
      <w:r w:rsidRPr="002F4596">
        <w:t xml:space="preserve">Astımın değerlendirilmesinde solunum yolu aşırı duyarlılık stimülasyonu önemli mediyatör histamin ve </w:t>
      </w:r>
      <w:proofErr w:type="spellStart"/>
      <w:r w:rsidRPr="002F4596">
        <w:t>sistein</w:t>
      </w:r>
      <w:proofErr w:type="spellEnd"/>
      <w:r w:rsidRPr="002F4596">
        <w:t xml:space="preserve"> </w:t>
      </w:r>
      <w:proofErr w:type="spellStart"/>
      <w:r w:rsidRPr="002F4596">
        <w:t>lökotrienleri</w:t>
      </w:r>
      <w:proofErr w:type="spellEnd"/>
      <w:r w:rsidRPr="002F4596">
        <w:t xml:space="preserve"> yanında yaralı bir </w:t>
      </w:r>
      <w:proofErr w:type="spellStart"/>
      <w:r w:rsidRPr="002F4596">
        <w:t>non</w:t>
      </w:r>
      <w:proofErr w:type="spellEnd"/>
      <w:r w:rsidRPr="002F4596">
        <w:t xml:space="preserve">-invaziv </w:t>
      </w:r>
      <w:proofErr w:type="spellStart"/>
      <w:r w:rsidRPr="002F4596">
        <w:t>inflamatuvar</w:t>
      </w:r>
      <w:proofErr w:type="spellEnd"/>
      <w:r w:rsidRPr="002F4596">
        <w:t xml:space="preserve"> yerine konmuş </w:t>
      </w:r>
      <w:proofErr w:type="spellStart"/>
      <w:r w:rsidRPr="002F4596">
        <w:t>markerdır</w:t>
      </w:r>
      <w:proofErr w:type="spellEnd"/>
      <w:r w:rsidRPr="002F4596">
        <w:t xml:space="preserve">. Hafiften orta dereceye kadar </w:t>
      </w:r>
      <w:proofErr w:type="spellStart"/>
      <w:r w:rsidRPr="002F4596">
        <w:t>persistant</w:t>
      </w:r>
      <w:proofErr w:type="spellEnd"/>
      <w:r w:rsidRPr="002F4596">
        <w:t xml:space="preserve"> astımı olan 15 hasta randomize, çift-kör, çapraz geçişli çalışmaya alınmıştır. Hastalara 10 mg </w:t>
      </w:r>
      <w:proofErr w:type="spellStart"/>
      <w:r w:rsidRPr="002F4596">
        <w:t>montelukast</w:t>
      </w:r>
      <w:proofErr w:type="spellEnd"/>
      <w:r w:rsidRPr="002F4596">
        <w:t xml:space="preserve">/5mg </w:t>
      </w:r>
      <w:proofErr w:type="spellStart"/>
      <w:r w:rsidRPr="002F4596">
        <w:t>desloratadin</w:t>
      </w:r>
      <w:proofErr w:type="spellEnd"/>
      <w:r w:rsidRPr="002F4596">
        <w:t xml:space="preserve"> kombinasyonu, 10 mg </w:t>
      </w:r>
      <w:proofErr w:type="spellStart"/>
      <w:r w:rsidRPr="002F4596">
        <w:t>montelukast</w:t>
      </w:r>
      <w:proofErr w:type="spellEnd"/>
      <w:r w:rsidRPr="002F4596">
        <w:t xml:space="preserve"> ve plasebo, adenozin monofosfat (AMP) ve </w:t>
      </w:r>
      <w:proofErr w:type="spellStart"/>
      <w:r w:rsidRPr="002F4596">
        <w:t>mannitol</w:t>
      </w:r>
      <w:proofErr w:type="spellEnd"/>
      <w:r w:rsidRPr="002F4596">
        <w:t xml:space="preserve"> maruziyetinden 10-14 saat önce verilmiştir. </w:t>
      </w:r>
      <w:proofErr w:type="spellStart"/>
      <w:r w:rsidRPr="002F4596">
        <w:t>Mannitol</w:t>
      </w:r>
      <w:proofErr w:type="spellEnd"/>
      <w:r w:rsidRPr="002F4596">
        <w:t xml:space="preserve"> eşik değer dozu, adenozin monofosfat eşik değer konsantrasyonu ve iyileşme zamanı maruziyetten sonra akciğer fonksiyonları ile ölçülmüştür. Plaseboya kıyasla, </w:t>
      </w:r>
      <w:proofErr w:type="spellStart"/>
      <w:r w:rsidRPr="002F4596">
        <w:t>montelukast</w:t>
      </w:r>
      <w:proofErr w:type="spellEnd"/>
      <w:r w:rsidRPr="002F4596">
        <w:t>/</w:t>
      </w:r>
      <w:proofErr w:type="spellStart"/>
      <w:r w:rsidRPr="002F4596">
        <w:t>desloratadin</w:t>
      </w:r>
      <w:proofErr w:type="spellEnd"/>
      <w:r w:rsidRPr="002F4596">
        <w:t xml:space="preserve"> AMP eşik değer konsantrasyonu ve </w:t>
      </w:r>
      <w:proofErr w:type="spellStart"/>
      <w:r w:rsidRPr="002F4596">
        <w:t>mannitol</w:t>
      </w:r>
      <w:proofErr w:type="spellEnd"/>
      <w:r w:rsidRPr="002F4596">
        <w:t xml:space="preserve"> eşik değer dozunda sırasıyla 3.,2 ve 2.,4 kat iyileşme sağlamıştır. </w:t>
      </w:r>
      <w:proofErr w:type="spellStart"/>
      <w:r w:rsidRPr="002F4596">
        <w:t>Montelukast</w:t>
      </w:r>
      <w:proofErr w:type="spellEnd"/>
      <w:r w:rsidRPr="002F4596">
        <w:t xml:space="preserve"> ise plasebodan farklı değildir. Hem </w:t>
      </w:r>
      <w:proofErr w:type="spellStart"/>
      <w:r w:rsidRPr="002F4596">
        <w:t>montelukast</w:t>
      </w:r>
      <w:proofErr w:type="spellEnd"/>
      <w:r w:rsidRPr="002F4596">
        <w:t>/</w:t>
      </w:r>
      <w:proofErr w:type="spellStart"/>
      <w:r w:rsidRPr="002F4596">
        <w:t>desloratadin</w:t>
      </w:r>
      <w:proofErr w:type="spellEnd"/>
      <w:r w:rsidRPr="002F4596">
        <w:t xml:space="preserve"> ve </w:t>
      </w:r>
      <w:proofErr w:type="spellStart"/>
      <w:r w:rsidRPr="002F4596">
        <w:t>montelukast</w:t>
      </w:r>
      <w:proofErr w:type="spellEnd"/>
      <w:r w:rsidRPr="002F4596">
        <w:t xml:space="preserve"> monoterapisi plaseboyla kıyaslandığında her iki maruziyetten sonra iyileşme zamanında AMP için sırasıyla </w:t>
      </w:r>
      <w:proofErr w:type="spellStart"/>
      <w:r w:rsidRPr="002F4596">
        <w:t>montelukast</w:t>
      </w:r>
      <w:proofErr w:type="spellEnd"/>
      <w:r w:rsidRPr="002F4596">
        <w:t>/</w:t>
      </w:r>
      <w:proofErr w:type="spellStart"/>
      <w:r w:rsidRPr="002F4596">
        <w:t>desloratadin</w:t>
      </w:r>
      <w:proofErr w:type="spellEnd"/>
      <w:r w:rsidRPr="002F4596">
        <w:t xml:space="preserve"> için 27 dakika, </w:t>
      </w:r>
      <w:proofErr w:type="spellStart"/>
      <w:r w:rsidRPr="002F4596">
        <w:t>montelukastta</w:t>
      </w:r>
      <w:proofErr w:type="spellEnd"/>
      <w:r w:rsidRPr="002F4596">
        <w:t xml:space="preserve"> 29 dakika azalma; </w:t>
      </w:r>
      <w:proofErr w:type="spellStart"/>
      <w:r w:rsidRPr="002F4596">
        <w:t>mannitol</w:t>
      </w:r>
      <w:proofErr w:type="spellEnd"/>
      <w:r w:rsidRPr="002F4596">
        <w:t xml:space="preserve"> için sırasıyla 27 dakika ve 26 dakikalık azalma</w:t>
      </w:r>
      <w:r w:rsidRPr="002F4596">
        <w:rPr>
          <w:spacing w:val="-6"/>
        </w:rPr>
        <w:t xml:space="preserve"> </w:t>
      </w:r>
      <w:r w:rsidRPr="002F4596">
        <w:t>olmuştur.</w:t>
      </w:r>
    </w:p>
    <w:p w14:paraId="739BCF7A" w14:textId="77777777" w:rsidR="00864BED" w:rsidRPr="002F4596" w:rsidRDefault="00864BED" w:rsidP="00864BED">
      <w:pPr>
        <w:pStyle w:val="GvdeMetni"/>
        <w:ind w:left="0"/>
        <w:jc w:val="both"/>
      </w:pPr>
    </w:p>
    <w:p w14:paraId="3B7366FE" w14:textId="77777777" w:rsidR="00864BED" w:rsidRPr="002F4596" w:rsidRDefault="00864BED" w:rsidP="00864BED">
      <w:pPr>
        <w:pStyle w:val="GvdeMetni"/>
        <w:ind w:right="103"/>
        <w:jc w:val="both"/>
      </w:pPr>
      <w:r w:rsidRPr="002F4596">
        <w:t xml:space="preserve">Gecikmiş basınç </w:t>
      </w:r>
      <w:proofErr w:type="spellStart"/>
      <w:r w:rsidRPr="002F4596">
        <w:t>ürtikerli</w:t>
      </w:r>
      <w:proofErr w:type="spellEnd"/>
      <w:r w:rsidRPr="002F4596">
        <w:t xml:space="preserve"> 36 hastada </w:t>
      </w:r>
      <w:proofErr w:type="spellStart"/>
      <w:r w:rsidRPr="002F4596">
        <w:t>dermographometre</w:t>
      </w:r>
      <w:proofErr w:type="spellEnd"/>
      <w:r w:rsidRPr="002F4596">
        <w:t xml:space="preserve"> kullanılarak randomize olarak 2 hafta günde bir kere l. kol oral 5 mg </w:t>
      </w:r>
      <w:proofErr w:type="spellStart"/>
      <w:r w:rsidRPr="002F4596">
        <w:t>desloratadin</w:t>
      </w:r>
      <w:proofErr w:type="spellEnd"/>
      <w:r w:rsidRPr="002F4596">
        <w:t xml:space="preserve">/plasebo, 2. kol oral 5 mg </w:t>
      </w:r>
      <w:proofErr w:type="spellStart"/>
      <w:r w:rsidRPr="002F4596">
        <w:t>desloratadin</w:t>
      </w:r>
      <w:proofErr w:type="spellEnd"/>
      <w:r w:rsidRPr="002F4596">
        <w:t xml:space="preserve">/10 mg </w:t>
      </w:r>
      <w:proofErr w:type="spellStart"/>
      <w:r w:rsidRPr="002F4596">
        <w:t>montelukast</w:t>
      </w:r>
      <w:proofErr w:type="spellEnd"/>
      <w:r w:rsidRPr="002F4596">
        <w:t xml:space="preserve">, 3. kol oral plasebo almıştır. 70 s basınçtan sonra plasebo grubuna kıyasla </w:t>
      </w:r>
      <w:proofErr w:type="spellStart"/>
      <w:r w:rsidRPr="002F4596">
        <w:t>desloratadin+montelukast</w:t>
      </w:r>
      <w:proofErr w:type="spellEnd"/>
      <w:r w:rsidRPr="002F4596">
        <w:t xml:space="preserve"> kombine kullanımında </w:t>
      </w:r>
      <w:proofErr w:type="spellStart"/>
      <w:r w:rsidRPr="002F4596">
        <w:t>papül</w:t>
      </w:r>
      <w:proofErr w:type="spellEnd"/>
      <w:r w:rsidRPr="002F4596">
        <w:t xml:space="preserve"> </w:t>
      </w:r>
      <w:proofErr w:type="spellStart"/>
      <w:r w:rsidRPr="002F4596">
        <w:t>diyametrelerinde</w:t>
      </w:r>
      <w:proofErr w:type="spellEnd"/>
      <w:r w:rsidRPr="002F4596">
        <w:t xml:space="preserve"> anlamlı azalmalar olmuştur. Kortikosteroid tedavisinden kaçmak isteyen hastalarda kombine olarak </w:t>
      </w:r>
      <w:proofErr w:type="spellStart"/>
      <w:r w:rsidRPr="002F4596">
        <w:t>desloratadin</w:t>
      </w:r>
      <w:proofErr w:type="spellEnd"/>
      <w:r w:rsidRPr="002F4596">
        <w:t>/</w:t>
      </w:r>
      <w:proofErr w:type="spellStart"/>
      <w:r w:rsidRPr="002F4596">
        <w:t>montelukast</w:t>
      </w:r>
      <w:proofErr w:type="spellEnd"/>
      <w:r w:rsidRPr="002F4596">
        <w:t xml:space="preserve"> kullanılması basınca bağlı ürtikerde etkili olduğu kanıtlanmıştır.</w:t>
      </w:r>
    </w:p>
    <w:p w14:paraId="5542F8DC" w14:textId="77777777" w:rsidR="00864BED" w:rsidRPr="002F4596" w:rsidRDefault="00864BED" w:rsidP="00864BED">
      <w:pPr>
        <w:pStyle w:val="GvdeMetni"/>
        <w:ind w:right="104"/>
        <w:jc w:val="both"/>
      </w:pPr>
    </w:p>
    <w:p w14:paraId="055200EB" w14:textId="77777777" w:rsidR="00864BED" w:rsidRPr="002F4596" w:rsidRDefault="00864BED" w:rsidP="00864BED">
      <w:pPr>
        <w:pStyle w:val="GvdeMetni"/>
        <w:ind w:left="284" w:right="104" w:hanging="34"/>
        <w:jc w:val="both"/>
      </w:pPr>
      <w:r w:rsidRPr="002F4596">
        <w:t xml:space="preserve">Kronik ürtikeri olan 81 hastada randomize, çift-kör, plasebo kontrollü bir çalışma yapılmıştır. Bir hafta süren tek-kör plasebo kontrollü çalışmayı altı haftalık çift-kör aktif tedavi periyotları takip etmiştir. Hastalar 5 mg </w:t>
      </w:r>
      <w:proofErr w:type="spellStart"/>
      <w:r w:rsidRPr="002F4596">
        <w:t>desloratadin</w:t>
      </w:r>
      <w:proofErr w:type="spellEnd"/>
      <w:r w:rsidRPr="002F4596">
        <w:t xml:space="preserve">/plasebo, 5 mg </w:t>
      </w:r>
      <w:proofErr w:type="spellStart"/>
      <w:r w:rsidRPr="002F4596">
        <w:t>desloratadin</w:t>
      </w:r>
      <w:proofErr w:type="spellEnd"/>
      <w:r w:rsidRPr="002F4596">
        <w:t xml:space="preserve">/10 mg </w:t>
      </w:r>
      <w:proofErr w:type="spellStart"/>
      <w:r w:rsidRPr="002F4596">
        <w:t>montelukast</w:t>
      </w:r>
      <w:proofErr w:type="spellEnd"/>
      <w:r w:rsidRPr="002F4596">
        <w:t xml:space="preserve">, oral plasebo almıştır. </w:t>
      </w:r>
      <w:proofErr w:type="spellStart"/>
      <w:r w:rsidRPr="002F4596">
        <w:t>Desloratadin</w:t>
      </w:r>
      <w:proofErr w:type="spellEnd"/>
      <w:r w:rsidRPr="002F4596">
        <w:t>/</w:t>
      </w:r>
      <w:proofErr w:type="spellStart"/>
      <w:r w:rsidRPr="002F4596">
        <w:t>montelukast</w:t>
      </w:r>
      <w:proofErr w:type="spellEnd"/>
      <w:r w:rsidRPr="002F4596">
        <w:t xml:space="preserve"> ile birlikte kullanımda kronik </w:t>
      </w:r>
      <w:proofErr w:type="spellStart"/>
      <w:r w:rsidRPr="002F4596">
        <w:t>ürtikerli</w:t>
      </w:r>
      <w:proofErr w:type="spellEnd"/>
      <w:r w:rsidRPr="002F4596">
        <w:t xml:space="preserve"> hastalarda yaşam kalitesi ölçeğinde anlamlı etkiler elde</w:t>
      </w:r>
      <w:r w:rsidRPr="002F4596">
        <w:rPr>
          <w:spacing w:val="-8"/>
        </w:rPr>
        <w:t xml:space="preserve"> </w:t>
      </w:r>
      <w:r w:rsidRPr="002F4596">
        <w:t>edilmiştir.</w:t>
      </w:r>
    </w:p>
    <w:p w14:paraId="6408023A" w14:textId="77777777" w:rsidR="00864BED" w:rsidRPr="002F4596" w:rsidRDefault="00864BED" w:rsidP="001C598F">
      <w:pPr>
        <w:pStyle w:val="GvdeMetni"/>
        <w:spacing w:before="5"/>
        <w:ind w:left="284" w:hanging="34"/>
        <w:jc w:val="both"/>
      </w:pPr>
    </w:p>
    <w:p w14:paraId="3C249C75" w14:textId="77777777" w:rsidR="001C598F" w:rsidRPr="002F4596" w:rsidRDefault="001C598F" w:rsidP="009D4A1E">
      <w:pPr>
        <w:pStyle w:val="GvdeMetni"/>
        <w:spacing w:before="5"/>
        <w:ind w:left="284" w:hanging="34"/>
        <w:jc w:val="both"/>
      </w:pPr>
    </w:p>
    <w:p w14:paraId="171BA062" w14:textId="46080643" w:rsidR="009D4A1E" w:rsidRPr="002F4596" w:rsidRDefault="00A12CE4" w:rsidP="009D4A1E">
      <w:pPr>
        <w:pStyle w:val="Balk1"/>
        <w:numPr>
          <w:ilvl w:val="1"/>
          <w:numId w:val="2"/>
        </w:numPr>
        <w:tabs>
          <w:tab w:val="left" w:pos="671"/>
        </w:tabs>
        <w:spacing w:line="240" w:lineRule="auto"/>
        <w:ind w:left="284" w:right="5879" w:firstLine="0"/>
        <w:jc w:val="both"/>
      </w:pPr>
      <w:r w:rsidRPr="002F4596">
        <w:t xml:space="preserve">Farmakokinetik özellikler </w:t>
      </w:r>
    </w:p>
    <w:p w14:paraId="3CE50405" w14:textId="77777777" w:rsidR="009D4A1E" w:rsidRPr="002F4596" w:rsidRDefault="009D4A1E" w:rsidP="009D4A1E">
      <w:pPr>
        <w:pStyle w:val="Balk1"/>
        <w:tabs>
          <w:tab w:val="left" w:pos="671"/>
        </w:tabs>
        <w:spacing w:line="240" w:lineRule="auto"/>
        <w:ind w:left="284" w:right="5879"/>
        <w:jc w:val="both"/>
      </w:pPr>
    </w:p>
    <w:p w14:paraId="0DFA7ABB" w14:textId="7E04150C" w:rsidR="00CB2508" w:rsidRPr="002F4596" w:rsidRDefault="00A12CE4" w:rsidP="009D4A1E">
      <w:pPr>
        <w:pStyle w:val="Balk1"/>
        <w:tabs>
          <w:tab w:val="left" w:pos="671"/>
        </w:tabs>
        <w:spacing w:line="240" w:lineRule="auto"/>
        <w:ind w:left="284" w:right="5879"/>
        <w:jc w:val="both"/>
      </w:pPr>
      <w:r w:rsidRPr="002F4596">
        <w:t>Genel</w:t>
      </w:r>
      <w:r w:rsidRPr="002F4596">
        <w:rPr>
          <w:spacing w:val="-1"/>
        </w:rPr>
        <w:t xml:space="preserve"> </w:t>
      </w:r>
      <w:r w:rsidRPr="002F4596">
        <w:t>özellikler</w:t>
      </w:r>
    </w:p>
    <w:p w14:paraId="6ECEFBB0" w14:textId="77777777" w:rsidR="00CB2508" w:rsidRPr="002F4596" w:rsidRDefault="00A12CE4" w:rsidP="009D4A1E">
      <w:pPr>
        <w:pStyle w:val="GvdeMetni"/>
        <w:ind w:left="284" w:right="170"/>
        <w:jc w:val="both"/>
      </w:pPr>
      <w:r w:rsidRPr="002F4596">
        <w:t xml:space="preserve">MONDES, oral olarak verildikten sonra, </w:t>
      </w:r>
      <w:proofErr w:type="spellStart"/>
      <w:r w:rsidRPr="002F4596">
        <w:t>desloratadin</w:t>
      </w:r>
      <w:proofErr w:type="spellEnd"/>
      <w:r w:rsidRPr="002F4596">
        <w:t xml:space="preserve"> ve </w:t>
      </w:r>
      <w:proofErr w:type="spellStart"/>
      <w:r w:rsidRPr="002F4596">
        <w:t>montelukast</w:t>
      </w:r>
      <w:proofErr w:type="spellEnd"/>
      <w:r w:rsidRPr="002F4596">
        <w:t xml:space="preserve"> doruk plazma konsantrasyonlarına 3 saat sonra ulaşmaktadırlar. </w:t>
      </w:r>
      <w:proofErr w:type="spellStart"/>
      <w:r w:rsidRPr="002F4596">
        <w:t>MONDES'in</w:t>
      </w:r>
      <w:proofErr w:type="spellEnd"/>
      <w:r w:rsidRPr="002F4596">
        <w:t xml:space="preserve"> emilim hızı ve miktarı tek tablet olarak verilen </w:t>
      </w:r>
      <w:proofErr w:type="spellStart"/>
      <w:r w:rsidRPr="002F4596">
        <w:t>desloratadin</w:t>
      </w:r>
      <w:proofErr w:type="spellEnd"/>
      <w:r w:rsidRPr="002F4596">
        <w:t xml:space="preserve"> ve </w:t>
      </w:r>
      <w:proofErr w:type="spellStart"/>
      <w:r w:rsidRPr="002F4596">
        <w:t>montelukastın</w:t>
      </w:r>
      <w:proofErr w:type="spellEnd"/>
      <w:r w:rsidRPr="002F4596">
        <w:t xml:space="preserve"> biyoyararlanımına eşdeğerdir.</w:t>
      </w:r>
    </w:p>
    <w:p w14:paraId="159A75E4" w14:textId="77777777" w:rsidR="00CB2508" w:rsidRPr="002F4596" w:rsidRDefault="00CB2508" w:rsidP="009D4A1E">
      <w:pPr>
        <w:pStyle w:val="GvdeMetni"/>
        <w:ind w:left="284"/>
        <w:jc w:val="both"/>
      </w:pPr>
    </w:p>
    <w:p w14:paraId="61A97555" w14:textId="77777777" w:rsidR="00CB2508" w:rsidRPr="002F4596" w:rsidRDefault="00A12CE4" w:rsidP="007B7CCA">
      <w:pPr>
        <w:ind w:left="250"/>
        <w:jc w:val="both"/>
        <w:rPr>
          <w:i/>
          <w:sz w:val="24"/>
          <w:szCs w:val="24"/>
        </w:rPr>
      </w:pPr>
      <w:proofErr w:type="spellStart"/>
      <w:r w:rsidRPr="002F4596">
        <w:rPr>
          <w:i/>
          <w:sz w:val="24"/>
          <w:szCs w:val="24"/>
        </w:rPr>
        <w:t>Desloratadin</w:t>
      </w:r>
      <w:proofErr w:type="spellEnd"/>
    </w:p>
    <w:p w14:paraId="3D071EFD" w14:textId="77777777" w:rsidR="00CB2508" w:rsidRPr="002F4596" w:rsidRDefault="00CB2508" w:rsidP="007B7CCA">
      <w:pPr>
        <w:pStyle w:val="GvdeMetni"/>
        <w:ind w:left="0"/>
        <w:jc w:val="both"/>
        <w:rPr>
          <w:i/>
        </w:rPr>
      </w:pPr>
    </w:p>
    <w:p w14:paraId="553C92F8" w14:textId="77777777" w:rsidR="00CB2508" w:rsidRPr="002F4596" w:rsidRDefault="00A12CE4" w:rsidP="001C598F">
      <w:pPr>
        <w:pStyle w:val="GvdeMetni"/>
        <w:ind w:left="284"/>
        <w:jc w:val="both"/>
      </w:pPr>
      <w:r w:rsidRPr="002F4596">
        <w:rPr>
          <w:u w:val="single"/>
        </w:rPr>
        <w:t>Emilim:</w:t>
      </w:r>
    </w:p>
    <w:p w14:paraId="0FDF23BD" w14:textId="13E81751" w:rsidR="00CB2508" w:rsidRPr="002F4596" w:rsidRDefault="00A12CE4" w:rsidP="001C598F">
      <w:pPr>
        <w:pStyle w:val="GvdeMetni"/>
        <w:ind w:left="284" w:right="100"/>
        <w:jc w:val="both"/>
        <w:rPr>
          <w:strike/>
        </w:rPr>
      </w:pPr>
      <w:proofErr w:type="spellStart"/>
      <w:r w:rsidRPr="002F4596">
        <w:t>Desloratadin</w:t>
      </w:r>
      <w:proofErr w:type="spellEnd"/>
      <w:r w:rsidRPr="002F4596">
        <w:t xml:space="preserve"> </w:t>
      </w:r>
      <w:r w:rsidR="00DB2403" w:rsidRPr="002F4596">
        <w:t xml:space="preserve">plazma konsantrasyonları </w:t>
      </w:r>
      <w:r w:rsidRPr="002F4596">
        <w:t xml:space="preserve">uygulamadan sonra, 30 dakika içinde saptanabilir düzeye gelir. </w:t>
      </w:r>
      <w:proofErr w:type="spellStart"/>
      <w:r w:rsidRPr="002F4596">
        <w:t>Desloratadinin</w:t>
      </w:r>
      <w:proofErr w:type="spellEnd"/>
      <w:r w:rsidRPr="002F4596">
        <w:t xml:space="preserve"> emilimi iyidir ve maksimum konsantrasyona yaklaşık 3 saat sonra ulaşılır. </w:t>
      </w:r>
      <w:proofErr w:type="spellStart"/>
      <w:r w:rsidRPr="002F4596">
        <w:t>Desloratadinin</w:t>
      </w:r>
      <w:proofErr w:type="spellEnd"/>
      <w:r w:rsidRPr="002F4596">
        <w:t xml:space="preserve"> terminal faz yarılanma ömrü yaklaşık 27 saattir. </w:t>
      </w:r>
      <w:proofErr w:type="spellStart"/>
      <w:r w:rsidRPr="002F4596">
        <w:t>Desloratadinin</w:t>
      </w:r>
      <w:proofErr w:type="spellEnd"/>
      <w:r w:rsidRPr="002F4596">
        <w:t xml:space="preserve"> birikim derecesi, yarılanma ömrü (yaklaşık 27 saat) ve günde tek doz uygulama sıklığı ile uyumludur. </w:t>
      </w:r>
      <w:proofErr w:type="spellStart"/>
      <w:r w:rsidRPr="002F4596">
        <w:t>Desloratadinin</w:t>
      </w:r>
      <w:proofErr w:type="spellEnd"/>
      <w:r w:rsidRPr="002F4596">
        <w:t xml:space="preserve"> biyoyararlanımı 5 ile 20 mg </w:t>
      </w:r>
      <w:r w:rsidRPr="002F4596">
        <w:rPr>
          <w:position w:val="2"/>
        </w:rPr>
        <w:t xml:space="preserve">aralığında doz ile orantılıdır. </w:t>
      </w:r>
    </w:p>
    <w:p w14:paraId="7E6AD5DC" w14:textId="409ABA3C" w:rsidR="00CB2508" w:rsidRPr="002F4596" w:rsidRDefault="001C598F" w:rsidP="001C598F">
      <w:pPr>
        <w:pStyle w:val="GvdeMetni"/>
        <w:spacing w:before="3"/>
        <w:ind w:left="284"/>
        <w:jc w:val="both"/>
      </w:pPr>
      <w:r w:rsidRPr="002F4596">
        <w:t xml:space="preserve">Hasta demografisinin genel mevsimsel alerjik </w:t>
      </w:r>
      <w:proofErr w:type="spellStart"/>
      <w:r w:rsidRPr="002F4596">
        <w:t>rinit</w:t>
      </w:r>
      <w:proofErr w:type="spellEnd"/>
      <w:r w:rsidRPr="002F4596">
        <w:t xml:space="preserve"> popülasyonu ile karşılaştırılabilir olduğu farmakokinetik bir çalışmada, deneklerin </w:t>
      </w:r>
      <w:proofErr w:type="gramStart"/>
      <w:r w:rsidRPr="002F4596">
        <w:t>% 4</w:t>
      </w:r>
      <w:proofErr w:type="gramEnd"/>
      <w:r w:rsidRPr="002F4596">
        <w:t xml:space="preserve">'ü daha yüksek bir </w:t>
      </w:r>
      <w:proofErr w:type="spellStart"/>
      <w:r w:rsidRPr="002F4596">
        <w:t>desloratadin</w:t>
      </w:r>
      <w:proofErr w:type="spellEnd"/>
      <w:r w:rsidRPr="002F4596">
        <w:t xml:space="preserve"> konsantrasyonu elde etmiştir. Bu yüzde etnik kökene göre değişebilir. Maksimum </w:t>
      </w:r>
      <w:proofErr w:type="spellStart"/>
      <w:r w:rsidRPr="002F4596">
        <w:t>desloratadin</w:t>
      </w:r>
      <w:proofErr w:type="spellEnd"/>
      <w:r w:rsidRPr="002F4596">
        <w:t xml:space="preserve"> konsantrasyonu yaklaşık 89 saatte bir terminal faz yarı ömrü ile yaklaşık 7 saatte yaklaşık 3 kat daha yüksekti. Bu kişilerin 16 güvenlilik profili genel popülasyondan farklı değildi.</w:t>
      </w:r>
    </w:p>
    <w:p w14:paraId="6B1A0065" w14:textId="77777777" w:rsidR="001C598F" w:rsidRPr="002F4596" w:rsidRDefault="001C598F" w:rsidP="001C598F">
      <w:pPr>
        <w:pStyle w:val="GvdeMetni"/>
        <w:spacing w:before="3"/>
        <w:ind w:left="284"/>
        <w:jc w:val="both"/>
      </w:pPr>
    </w:p>
    <w:p w14:paraId="639B4EB5" w14:textId="77777777" w:rsidR="00CB2508" w:rsidRPr="002F4596" w:rsidRDefault="00A12CE4" w:rsidP="001C598F">
      <w:pPr>
        <w:pStyle w:val="GvdeMetni"/>
        <w:spacing w:before="1"/>
        <w:ind w:left="284"/>
        <w:jc w:val="both"/>
      </w:pPr>
      <w:r w:rsidRPr="002F4596">
        <w:rPr>
          <w:u w:val="single"/>
        </w:rPr>
        <w:t>Dağılım:</w:t>
      </w:r>
    </w:p>
    <w:p w14:paraId="11C79B20" w14:textId="5C15B829" w:rsidR="00DB2403" w:rsidRPr="002F4596" w:rsidRDefault="00A12CE4" w:rsidP="007B7CCA">
      <w:pPr>
        <w:pStyle w:val="GvdeMetni"/>
        <w:ind w:right="105"/>
        <w:jc w:val="both"/>
      </w:pPr>
      <w:proofErr w:type="spellStart"/>
      <w:r w:rsidRPr="002F4596">
        <w:t>Desloratadin</w:t>
      </w:r>
      <w:proofErr w:type="spellEnd"/>
      <w:r w:rsidRPr="002F4596">
        <w:t xml:space="preserve"> plazma proteinlerine orta derecede (%</w:t>
      </w:r>
      <w:proofErr w:type="gramStart"/>
      <w:r w:rsidRPr="002F4596">
        <w:t>83 -</w:t>
      </w:r>
      <w:proofErr w:type="gramEnd"/>
      <w:r w:rsidRPr="002F4596">
        <w:t xml:space="preserve"> %87) bağlanır. 14 gün süreyle günde tek doz (5 mg ile 20 mg) </w:t>
      </w:r>
      <w:proofErr w:type="spellStart"/>
      <w:r w:rsidRPr="002F4596">
        <w:t>desloratadin</w:t>
      </w:r>
      <w:proofErr w:type="spellEnd"/>
      <w:r w:rsidRPr="002F4596">
        <w:t xml:space="preserve"> uygulamasını takiben, klinik olarak önem taşıyan herhangi bir ilaç birikim belirtisi bulunmamıştır.</w:t>
      </w:r>
    </w:p>
    <w:p w14:paraId="67566556" w14:textId="77777777" w:rsidR="00224739" w:rsidRPr="002F4596" w:rsidRDefault="00224739" w:rsidP="007B7CCA">
      <w:pPr>
        <w:pStyle w:val="GvdeMetni"/>
        <w:ind w:right="105"/>
        <w:jc w:val="both"/>
      </w:pPr>
    </w:p>
    <w:p w14:paraId="50C76D0A" w14:textId="067A02BC" w:rsidR="00CB2508" w:rsidRPr="002F4596" w:rsidRDefault="00A12CE4" w:rsidP="007B7CCA">
      <w:pPr>
        <w:pStyle w:val="GvdeMetni"/>
        <w:spacing w:before="76"/>
        <w:jc w:val="both"/>
      </w:pPr>
      <w:r w:rsidRPr="002F4596">
        <w:rPr>
          <w:u w:val="single"/>
        </w:rPr>
        <w:t>Biyotransformasyon:</w:t>
      </w:r>
    </w:p>
    <w:p w14:paraId="0DAF019C" w14:textId="4EC524E9" w:rsidR="00CB2508" w:rsidRPr="002F4596" w:rsidRDefault="00A12CE4" w:rsidP="007B7CCA">
      <w:pPr>
        <w:pStyle w:val="GvdeMetni"/>
        <w:ind w:right="103"/>
        <w:jc w:val="both"/>
      </w:pPr>
      <w:proofErr w:type="spellStart"/>
      <w:r w:rsidRPr="002F4596">
        <w:t>Desloratadin</w:t>
      </w:r>
      <w:proofErr w:type="spellEnd"/>
      <w:r w:rsidRPr="002F4596">
        <w:t xml:space="preserve"> metabolizmasından sorumlu enzim henüz tanımlanmamış olduğundan diğer ilaçlarla olabilecek bazı etkileşimler tamamen göz ardı edilememektedir. </w:t>
      </w:r>
      <w:proofErr w:type="spellStart"/>
      <w:proofErr w:type="gramStart"/>
      <w:r w:rsidRPr="002F4596">
        <w:t>Desloratadin</w:t>
      </w:r>
      <w:proofErr w:type="spellEnd"/>
      <w:r w:rsidRPr="002F4596">
        <w:t xml:space="preserve">  </w:t>
      </w:r>
      <w:r w:rsidRPr="002F4596">
        <w:rPr>
          <w:i/>
        </w:rPr>
        <w:t>in</w:t>
      </w:r>
      <w:proofErr w:type="gramEnd"/>
      <w:r w:rsidRPr="002F4596">
        <w:rPr>
          <w:i/>
        </w:rPr>
        <w:t>-</w:t>
      </w:r>
      <w:proofErr w:type="spellStart"/>
      <w:r w:rsidRPr="002F4596">
        <w:rPr>
          <w:i/>
        </w:rPr>
        <w:t>vivo</w:t>
      </w:r>
      <w:proofErr w:type="spellEnd"/>
      <w:r w:rsidRPr="002F4596">
        <w:rPr>
          <w:i/>
        </w:rPr>
        <w:t xml:space="preserve"> </w:t>
      </w:r>
      <w:r w:rsidR="00DB2403" w:rsidRPr="002F4596">
        <w:t>koşullarda CYP3A4’ü</w:t>
      </w:r>
      <w:r w:rsidRPr="002F4596">
        <w:t xml:space="preserve"> inhibe etmez ve </w:t>
      </w:r>
      <w:r w:rsidRPr="002F4596">
        <w:rPr>
          <w:i/>
        </w:rPr>
        <w:t xml:space="preserve">in-vitro </w:t>
      </w:r>
      <w:r w:rsidRPr="002F4596">
        <w:t xml:space="preserve">çalışmalar tıbbi ürünün CYP2D6'yı inhibe etmediğini </w:t>
      </w:r>
      <w:r w:rsidR="00DB2403" w:rsidRPr="002F4596">
        <w:t xml:space="preserve">göstermiştir. </w:t>
      </w:r>
      <w:r w:rsidRPr="002F4596">
        <w:t xml:space="preserve">P- glikoproteinin substratı veya inhibitörü </w:t>
      </w:r>
      <w:r w:rsidR="00DB2403" w:rsidRPr="002F4596">
        <w:t>değildir</w:t>
      </w:r>
      <w:r w:rsidRPr="002F4596">
        <w:t>.</w:t>
      </w:r>
    </w:p>
    <w:p w14:paraId="67F8C8EC" w14:textId="77777777" w:rsidR="00CB2508" w:rsidRPr="002F4596" w:rsidRDefault="00CB2508" w:rsidP="007B7CCA">
      <w:pPr>
        <w:pStyle w:val="GvdeMetni"/>
        <w:spacing w:before="9"/>
        <w:ind w:left="0"/>
        <w:jc w:val="both"/>
      </w:pPr>
    </w:p>
    <w:p w14:paraId="3978266C" w14:textId="1311A53C" w:rsidR="00F56394" w:rsidRPr="002F4596" w:rsidRDefault="00A12CE4" w:rsidP="007B7CCA">
      <w:pPr>
        <w:pStyle w:val="GvdeMetni"/>
        <w:jc w:val="both"/>
        <w:rPr>
          <w:u w:val="single"/>
        </w:rPr>
      </w:pPr>
      <w:r w:rsidRPr="002F4596">
        <w:rPr>
          <w:u w:val="single"/>
        </w:rPr>
        <w:t>Eliminasyon:</w:t>
      </w:r>
    </w:p>
    <w:p w14:paraId="067A36AE" w14:textId="2D9E7D22" w:rsidR="00F56394" w:rsidRPr="002F4596" w:rsidRDefault="00F56394" w:rsidP="007B7CCA">
      <w:pPr>
        <w:pStyle w:val="GvdeMetni"/>
        <w:jc w:val="both"/>
      </w:pPr>
      <w:proofErr w:type="spellStart"/>
      <w:r w:rsidRPr="002F4596">
        <w:t>Desloratadinin</w:t>
      </w:r>
      <w:proofErr w:type="spellEnd"/>
      <w:r w:rsidRPr="002F4596">
        <w:t xml:space="preserve"> 7,5 mg dozda </w:t>
      </w:r>
      <w:proofErr w:type="spellStart"/>
      <w:r w:rsidRPr="002F4596">
        <w:t>kullanıldığı</w:t>
      </w:r>
      <w:proofErr w:type="spellEnd"/>
      <w:r w:rsidRPr="002F4596">
        <w:t xml:space="preserve"> tek dozlu bir araştırmada, besinlerin (</w:t>
      </w:r>
      <w:proofErr w:type="spellStart"/>
      <w:r w:rsidRPr="002F4596">
        <w:t>yag</w:t>
      </w:r>
      <w:proofErr w:type="spellEnd"/>
      <w:r w:rsidRPr="002F4596">
        <w:t xml:space="preserve">̆ ve kaloriden zengin kahvaltı) </w:t>
      </w:r>
      <w:proofErr w:type="spellStart"/>
      <w:r w:rsidRPr="002F4596">
        <w:t>desloratadinin</w:t>
      </w:r>
      <w:proofErr w:type="spellEnd"/>
      <w:r w:rsidRPr="002F4596">
        <w:t xml:space="preserve"> dispozisyonu </w:t>
      </w:r>
      <w:proofErr w:type="spellStart"/>
      <w:r w:rsidRPr="002F4596">
        <w:t>üzerinde</w:t>
      </w:r>
      <w:proofErr w:type="spellEnd"/>
      <w:r w:rsidRPr="002F4596">
        <w:t xml:space="preserve"> </w:t>
      </w:r>
      <w:proofErr w:type="spellStart"/>
      <w:r w:rsidRPr="002F4596">
        <w:t>hiçbir</w:t>
      </w:r>
      <w:proofErr w:type="spellEnd"/>
      <w:r w:rsidRPr="002F4596">
        <w:t xml:space="preserve"> etkisi </w:t>
      </w:r>
      <w:proofErr w:type="spellStart"/>
      <w:r w:rsidRPr="002F4596">
        <w:t>olmadığı</w:t>
      </w:r>
      <w:proofErr w:type="spellEnd"/>
      <w:r w:rsidRPr="002F4596">
        <w:t xml:space="preserve"> </w:t>
      </w:r>
      <w:proofErr w:type="spellStart"/>
      <w:r w:rsidRPr="002F4596">
        <w:t>gösterilmiştir</w:t>
      </w:r>
      <w:proofErr w:type="spellEnd"/>
      <w:r w:rsidRPr="002F4596">
        <w:t xml:space="preserve">. </w:t>
      </w:r>
      <w:proofErr w:type="spellStart"/>
      <w:r w:rsidRPr="002F4596">
        <w:t>Diğer</w:t>
      </w:r>
      <w:proofErr w:type="spellEnd"/>
      <w:r w:rsidRPr="002F4596">
        <w:t xml:space="preserve"> bir </w:t>
      </w:r>
      <w:proofErr w:type="spellStart"/>
      <w:r w:rsidRPr="002F4596">
        <w:t>çalışmada</w:t>
      </w:r>
      <w:proofErr w:type="spellEnd"/>
      <w:r w:rsidRPr="002F4596">
        <w:t xml:space="preserve"> </w:t>
      </w:r>
      <w:proofErr w:type="gramStart"/>
      <w:r w:rsidRPr="002F4596">
        <w:t>da,</w:t>
      </w:r>
      <w:proofErr w:type="gramEnd"/>
      <w:r w:rsidRPr="002F4596">
        <w:t xml:space="preserve"> greyfurt suyunun </w:t>
      </w:r>
      <w:proofErr w:type="spellStart"/>
      <w:r w:rsidRPr="002F4596">
        <w:t>desloratadinin</w:t>
      </w:r>
      <w:proofErr w:type="spellEnd"/>
      <w:r w:rsidRPr="002F4596">
        <w:t xml:space="preserve"> dispozisyonu </w:t>
      </w:r>
      <w:proofErr w:type="spellStart"/>
      <w:r w:rsidRPr="002F4596">
        <w:t>üzerinde</w:t>
      </w:r>
      <w:proofErr w:type="spellEnd"/>
      <w:r w:rsidRPr="002F4596">
        <w:t xml:space="preserve"> bir etkisi </w:t>
      </w:r>
      <w:proofErr w:type="spellStart"/>
      <w:r w:rsidRPr="002F4596">
        <w:t>bulunmamıştır</w:t>
      </w:r>
      <w:proofErr w:type="spellEnd"/>
      <w:r w:rsidRPr="002F4596">
        <w:t xml:space="preserve">. </w:t>
      </w:r>
    </w:p>
    <w:p w14:paraId="34334C95" w14:textId="2F0DB1B1" w:rsidR="00864BED" w:rsidRPr="002F4596" w:rsidRDefault="00864BED" w:rsidP="007B7CCA">
      <w:pPr>
        <w:pStyle w:val="GvdeMetni"/>
        <w:jc w:val="both"/>
        <w:rPr>
          <w:u w:val="single"/>
        </w:rPr>
      </w:pPr>
    </w:p>
    <w:p w14:paraId="6CAE3404" w14:textId="77777777" w:rsidR="00864BED" w:rsidRPr="002F4596" w:rsidRDefault="00864BED" w:rsidP="00864BED">
      <w:pPr>
        <w:pStyle w:val="GvdeMetni"/>
        <w:jc w:val="both"/>
        <w:rPr>
          <w:u w:val="single"/>
        </w:rPr>
      </w:pPr>
      <w:r w:rsidRPr="002F4596">
        <w:rPr>
          <w:u w:val="single"/>
        </w:rPr>
        <w:t>Böbrek yetmezliği olan hastalar</w:t>
      </w:r>
    </w:p>
    <w:p w14:paraId="720E6BBF" w14:textId="77777777" w:rsidR="00864BED" w:rsidRPr="002F4596" w:rsidRDefault="00864BED" w:rsidP="00864BED">
      <w:pPr>
        <w:pStyle w:val="GvdeMetni"/>
        <w:jc w:val="both"/>
      </w:pPr>
      <w:proofErr w:type="spellStart"/>
      <w:r w:rsidRPr="002F4596">
        <w:t>Desloratadinin</w:t>
      </w:r>
      <w:proofErr w:type="spellEnd"/>
      <w:r w:rsidRPr="002F4596">
        <w:t xml:space="preserve"> kronik böbrek yetmezliği (KBY) olan hastalardaki farmakokinetiği, bir tek doz çalışmasında ve bir çoklu doz çalışmasında sağlıklı bireylerinkiyle karşılaştırılmıştır. Tek dozluk çalışmada, </w:t>
      </w:r>
      <w:proofErr w:type="spellStart"/>
      <w:r w:rsidRPr="002F4596">
        <w:t>desloratadine</w:t>
      </w:r>
      <w:proofErr w:type="spellEnd"/>
      <w:r w:rsidRPr="002F4596">
        <w:t xml:space="preserve"> maruziyet, hafif-orta ve şiddetli </w:t>
      </w:r>
      <w:proofErr w:type="spellStart"/>
      <w:r w:rsidRPr="002F4596">
        <w:t>CRI’lı</w:t>
      </w:r>
      <w:proofErr w:type="spellEnd"/>
      <w:r w:rsidRPr="002F4596">
        <w:t xml:space="preserve"> gönüllülerde sağlıklı gönüllülere göre sırasıyla yaklaşık 2 ve 2,5 kat daha fazla olmuştur. Çoklu doz çalışmasında, stabil duruma 11. Günden sonra ulaşılmıştır ve sağlıklı gönüllülerle karşılaştırıldığında </w:t>
      </w:r>
      <w:proofErr w:type="spellStart"/>
      <w:r w:rsidRPr="002F4596">
        <w:t>desloratadine</w:t>
      </w:r>
      <w:proofErr w:type="spellEnd"/>
      <w:r w:rsidRPr="002F4596">
        <w:t xml:space="preserve"> maruziyet hafif ila orta şiddette CRI olan gönüllülerde ~1,5 kat ve şiddetli CRI olan gönüllülerde ~2,5 kat daha fazla olmuştur. Her iki çalışmada da </w:t>
      </w:r>
      <w:proofErr w:type="spellStart"/>
      <w:r w:rsidRPr="002F4596">
        <w:t>desloratadin</w:t>
      </w:r>
      <w:proofErr w:type="spellEnd"/>
      <w:r w:rsidRPr="002F4596">
        <w:t xml:space="preserve"> ve 3-hidroksidesloratadin maruziyetindeki (EAA ve </w:t>
      </w:r>
      <w:proofErr w:type="spellStart"/>
      <w:r w:rsidRPr="002F4596">
        <w:t>Cmaks</w:t>
      </w:r>
      <w:proofErr w:type="spellEnd"/>
      <w:r w:rsidRPr="002F4596">
        <w:t>) değişiklikler klinik olarak anlamlı bulunmamıştır.</w:t>
      </w:r>
    </w:p>
    <w:p w14:paraId="4DFBDACC" w14:textId="39B795DA" w:rsidR="00CB2508" w:rsidRPr="002F4596" w:rsidRDefault="00CB2508" w:rsidP="007B7CCA">
      <w:pPr>
        <w:pStyle w:val="GvdeMetni"/>
        <w:spacing w:before="6"/>
        <w:ind w:left="0"/>
        <w:jc w:val="both"/>
      </w:pPr>
    </w:p>
    <w:p w14:paraId="5205ADAF" w14:textId="77777777" w:rsidR="00CB2508" w:rsidRPr="002F4596" w:rsidRDefault="00A12CE4" w:rsidP="007B7CCA">
      <w:pPr>
        <w:pStyle w:val="GvdeMetni"/>
        <w:spacing w:before="1"/>
        <w:jc w:val="both"/>
        <w:rPr>
          <w:u w:val="single"/>
        </w:rPr>
      </w:pPr>
      <w:r w:rsidRPr="002F4596">
        <w:rPr>
          <w:u w:val="single"/>
        </w:rPr>
        <w:t>Doğrusallık/Doğrusal Olmayan Durum:</w:t>
      </w:r>
    </w:p>
    <w:p w14:paraId="3528DA92" w14:textId="40F1542B" w:rsidR="00F56394" w:rsidRPr="002F4596" w:rsidRDefault="00F56394" w:rsidP="007B7CCA">
      <w:pPr>
        <w:pStyle w:val="GvdeMetni"/>
        <w:spacing w:before="1"/>
        <w:jc w:val="both"/>
      </w:pPr>
      <w:proofErr w:type="spellStart"/>
      <w:r w:rsidRPr="002F4596">
        <w:t>Desloratadinin</w:t>
      </w:r>
      <w:proofErr w:type="spellEnd"/>
      <w:r w:rsidRPr="002F4596">
        <w:t xml:space="preserve"> biyoyararlanımı 5-20 mg aralığında dozla orantılıdır.</w:t>
      </w:r>
    </w:p>
    <w:p w14:paraId="659F1942" w14:textId="77777777" w:rsidR="001C598F" w:rsidRPr="002F4596" w:rsidRDefault="001C598F" w:rsidP="007B7CCA">
      <w:pPr>
        <w:pStyle w:val="GvdeMetni"/>
        <w:spacing w:before="1"/>
        <w:jc w:val="both"/>
      </w:pPr>
    </w:p>
    <w:p w14:paraId="42EFF71E" w14:textId="77777777" w:rsidR="001C598F" w:rsidRPr="002F4596" w:rsidRDefault="001C598F" w:rsidP="007B7CCA">
      <w:pPr>
        <w:pStyle w:val="GvdeMetni"/>
        <w:spacing w:before="1"/>
        <w:jc w:val="both"/>
        <w:rPr>
          <w:u w:val="single"/>
        </w:rPr>
      </w:pPr>
      <w:r w:rsidRPr="002F4596">
        <w:rPr>
          <w:u w:val="single"/>
        </w:rPr>
        <w:t xml:space="preserve">Hastalardaki karakteristik özellikler </w:t>
      </w:r>
    </w:p>
    <w:p w14:paraId="39BF8362" w14:textId="33E21AA7" w:rsidR="001C598F" w:rsidRPr="002F4596" w:rsidRDefault="001C598F" w:rsidP="007B7CCA">
      <w:pPr>
        <w:pStyle w:val="GvdeMetni"/>
        <w:spacing w:before="1"/>
        <w:jc w:val="both"/>
      </w:pPr>
      <w:r w:rsidRPr="002F4596">
        <w:t xml:space="preserve">Böbrek yetmezliği Kronik böbrek yetmezliği (KBY) olan hastalarda </w:t>
      </w:r>
      <w:proofErr w:type="spellStart"/>
      <w:r w:rsidRPr="002F4596">
        <w:t>desloratadin</w:t>
      </w:r>
      <w:proofErr w:type="spellEnd"/>
      <w:r w:rsidRPr="002F4596">
        <w:t xml:space="preserve"> farmakokinetiği, tek dozlu ve çok dozlu çalışmada sağlıklı olan deneklerle karşılaştırıldı. Tek dozlu çalışmada, </w:t>
      </w:r>
      <w:proofErr w:type="spellStart"/>
      <w:r w:rsidRPr="002F4596">
        <w:t>desloratadine</w:t>
      </w:r>
      <w:proofErr w:type="spellEnd"/>
      <w:r w:rsidRPr="002F4596">
        <w:t xml:space="preserve"> maruz kalma, sağlıklı deneklere göre, hafif ila orta ve şiddetli KBY olan kişilerde sırasıyla yaklaşık 2 ve 2,5 kat daha fazlaydı. Çok dozlu çalışmada, 11. günden sonra kararlı duruma ulaşılmış ve sağlıklı deneklerle karşılaştırıldığında, </w:t>
      </w:r>
      <w:proofErr w:type="spellStart"/>
      <w:r w:rsidRPr="002F4596">
        <w:t>desloratadine</w:t>
      </w:r>
      <w:proofErr w:type="spellEnd"/>
      <w:r w:rsidRPr="002F4596">
        <w:t xml:space="preserve"> olan maruziyet hafif KBY olan kişilerde ~1,5 kat ve şiddetli KBY olan kişilerde ~ 2,5 kat daha fazla olmuştur. Her iki çalışmada </w:t>
      </w:r>
      <w:proofErr w:type="gramStart"/>
      <w:r w:rsidRPr="002F4596">
        <w:t>da,</w:t>
      </w:r>
      <w:proofErr w:type="gramEnd"/>
      <w:r w:rsidRPr="002F4596">
        <w:t xml:space="preserve"> </w:t>
      </w:r>
      <w:proofErr w:type="spellStart"/>
      <w:r w:rsidRPr="002F4596">
        <w:t>desloratadin</w:t>
      </w:r>
      <w:proofErr w:type="spellEnd"/>
      <w:r w:rsidRPr="002F4596">
        <w:t xml:space="preserve"> ve 3- </w:t>
      </w:r>
      <w:proofErr w:type="spellStart"/>
      <w:r w:rsidRPr="002F4596">
        <w:t>hidroksidesloratadin</w:t>
      </w:r>
      <w:proofErr w:type="spellEnd"/>
      <w:r w:rsidRPr="002F4596">
        <w:t xml:space="preserve"> maruziyetindeki değişiklikler (EAA ve </w:t>
      </w:r>
      <w:proofErr w:type="spellStart"/>
      <w:r w:rsidRPr="002F4596">
        <w:t>Cmax</w:t>
      </w:r>
      <w:proofErr w:type="spellEnd"/>
      <w:r w:rsidRPr="002F4596">
        <w:t xml:space="preserve">) klinik olarak anlamlı değildi. </w:t>
      </w:r>
    </w:p>
    <w:p w14:paraId="475988FD" w14:textId="77777777" w:rsidR="00FF6179" w:rsidRPr="002F4596" w:rsidRDefault="00FF6179" w:rsidP="007B7CCA">
      <w:pPr>
        <w:pStyle w:val="GvdeMetni"/>
        <w:spacing w:before="11"/>
        <w:ind w:left="0"/>
        <w:jc w:val="both"/>
      </w:pPr>
    </w:p>
    <w:p w14:paraId="1B91F3EE" w14:textId="77777777" w:rsidR="00CB2508" w:rsidRPr="002F4596" w:rsidRDefault="00A12CE4" w:rsidP="007B7CCA">
      <w:pPr>
        <w:ind w:left="250"/>
        <w:jc w:val="both"/>
        <w:rPr>
          <w:i/>
          <w:sz w:val="24"/>
          <w:szCs w:val="24"/>
        </w:rPr>
      </w:pPr>
      <w:proofErr w:type="spellStart"/>
      <w:r w:rsidRPr="002F4596">
        <w:rPr>
          <w:i/>
          <w:sz w:val="24"/>
          <w:szCs w:val="24"/>
        </w:rPr>
        <w:t>Montelukast</w:t>
      </w:r>
      <w:proofErr w:type="spellEnd"/>
    </w:p>
    <w:p w14:paraId="4947B293" w14:textId="77777777" w:rsidR="00CB2508" w:rsidRPr="002F4596" w:rsidRDefault="00CB2508" w:rsidP="007B7CCA">
      <w:pPr>
        <w:pStyle w:val="GvdeMetni"/>
        <w:ind w:left="0"/>
        <w:jc w:val="both"/>
        <w:rPr>
          <w:i/>
        </w:rPr>
      </w:pPr>
    </w:p>
    <w:p w14:paraId="5E9A8552" w14:textId="77777777" w:rsidR="00CB2508" w:rsidRPr="002F4596" w:rsidRDefault="00A12CE4" w:rsidP="007B7CCA">
      <w:pPr>
        <w:pStyle w:val="GvdeMetni"/>
        <w:jc w:val="both"/>
      </w:pPr>
      <w:r w:rsidRPr="002F4596">
        <w:rPr>
          <w:u w:val="single"/>
        </w:rPr>
        <w:t>Emilim:</w:t>
      </w:r>
    </w:p>
    <w:p w14:paraId="68F98569" w14:textId="68203EAC" w:rsidR="00CB2508" w:rsidRPr="002F4596" w:rsidRDefault="00A12CE4" w:rsidP="007B7CCA">
      <w:pPr>
        <w:pStyle w:val="GvdeMetni"/>
        <w:spacing w:before="2" w:line="237" w:lineRule="auto"/>
        <w:ind w:right="105"/>
        <w:jc w:val="both"/>
      </w:pPr>
      <w:proofErr w:type="spellStart"/>
      <w:r w:rsidRPr="002F4596">
        <w:t>Montelukast</w:t>
      </w:r>
      <w:proofErr w:type="spellEnd"/>
      <w:r w:rsidRPr="002F4596">
        <w:t>, oral uygulamadan sonra</w:t>
      </w:r>
      <w:r w:rsidR="00F56394" w:rsidRPr="002F4596">
        <w:t xml:space="preserve"> </w:t>
      </w:r>
      <w:proofErr w:type="spellStart"/>
      <w:r w:rsidR="00F56394" w:rsidRPr="002F4596">
        <w:t>gastrointestinal</w:t>
      </w:r>
      <w:proofErr w:type="spellEnd"/>
      <w:r w:rsidR="00F56394" w:rsidRPr="002F4596">
        <w:t xml:space="preserve"> kanaldan</w:t>
      </w:r>
      <w:r w:rsidRPr="002F4596">
        <w:t xml:space="preserve"> hızla emilir. </w:t>
      </w:r>
      <w:r w:rsidR="00F56394" w:rsidRPr="002F4596">
        <w:t>10 mg</w:t>
      </w:r>
      <w:r w:rsidRPr="002F4596">
        <w:t xml:space="preserve"> film kaplı tablet </w:t>
      </w:r>
      <w:r w:rsidR="00F56394" w:rsidRPr="002F4596">
        <w:t xml:space="preserve">erişkinlerde aç karnına uygulandıktan sonra </w:t>
      </w:r>
      <w:proofErr w:type="spellStart"/>
      <w:r w:rsidR="00F56394" w:rsidRPr="002F4596">
        <w:t>montelukast</w:t>
      </w:r>
      <w:proofErr w:type="spellEnd"/>
      <w:r w:rsidR="00F56394" w:rsidRPr="002F4596">
        <w:t xml:space="preserve"> </w:t>
      </w:r>
      <w:r w:rsidRPr="002F4596">
        <w:t xml:space="preserve">ortalama plazma </w:t>
      </w:r>
      <w:r w:rsidR="00F56394" w:rsidRPr="002F4596">
        <w:t xml:space="preserve">pik </w:t>
      </w:r>
      <w:r w:rsidRPr="002F4596">
        <w:t xml:space="preserve">konsantrasyonuna </w:t>
      </w:r>
      <w:r w:rsidRPr="002F4596">
        <w:rPr>
          <w:position w:val="2"/>
        </w:rPr>
        <w:t>(C</w:t>
      </w:r>
      <w:proofErr w:type="spellStart"/>
      <w:r w:rsidRPr="002F4596">
        <w:t>maks</w:t>
      </w:r>
      <w:proofErr w:type="spellEnd"/>
      <w:r w:rsidRPr="002F4596">
        <w:rPr>
          <w:position w:val="2"/>
        </w:rPr>
        <w:t>) 3 saatte (T</w:t>
      </w:r>
      <w:proofErr w:type="spellStart"/>
      <w:r w:rsidRPr="002F4596">
        <w:t>maks</w:t>
      </w:r>
      <w:proofErr w:type="spellEnd"/>
      <w:r w:rsidRPr="002F4596">
        <w:rPr>
          <w:position w:val="2"/>
        </w:rPr>
        <w:t>) ulaşılır. Ortalama oral biyoyararlanım %64'</w:t>
      </w:r>
      <w:r w:rsidR="00F56394" w:rsidRPr="002F4596">
        <w:rPr>
          <w:position w:val="2"/>
        </w:rPr>
        <w:t xml:space="preserve"> tür</w:t>
      </w:r>
      <w:r w:rsidRPr="002F4596">
        <w:rPr>
          <w:position w:val="2"/>
        </w:rPr>
        <w:t>. Oral biyoyararlanım ve C</w:t>
      </w:r>
      <w:proofErr w:type="spellStart"/>
      <w:r w:rsidRPr="002F4596">
        <w:t>maks</w:t>
      </w:r>
      <w:proofErr w:type="spellEnd"/>
      <w:r w:rsidRPr="002F4596">
        <w:t xml:space="preserve"> </w:t>
      </w:r>
      <w:r w:rsidR="00F56394" w:rsidRPr="002F4596">
        <w:rPr>
          <w:position w:val="2"/>
        </w:rPr>
        <w:t>alınan standart</w:t>
      </w:r>
      <w:r w:rsidRPr="002F4596">
        <w:rPr>
          <w:position w:val="2"/>
        </w:rPr>
        <w:t xml:space="preserve"> </w:t>
      </w:r>
      <w:r w:rsidR="00F56394" w:rsidRPr="002F4596">
        <w:t>öğünden etkilenmez. Güvenlilik ve etkililik, 10 mg film tabletin gıdanın alınma zamanından bağımsız olarak uygulandığı klinik çalışmalarda gösterilmiştir</w:t>
      </w:r>
      <w:r w:rsidRPr="002F4596">
        <w:t>.</w:t>
      </w:r>
    </w:p>
    <w:p w14:paraId="5332C30F" w14:textId="77777777" w:rsidR="00F56394" w:rsidRPr="002F4596" w:rsidRDefault="00F56394" w:rsidP="007B7CCA">
      <w:pPr>
        <w:pStyle w:val="GvdeMetni"/>
        <w:jc w:val="both"/>
        <w:rPr>
          <w:u w:val="single"/>
        </w:rPr>
      </w:pPr>
    </w:p>
    <w:p w14:paraId="1387A3CC" w14:textId="6A5ED588" w:rsidR="00CB2508" w:rsidRPr="002F4596" w:rsidRDefault="00A12CE4" w:rsidP="007B7CCA">
      <w:pPr>
        <w:pStyle w:val="GvdeMetni"/>
        <w:jc w:val="both"/>
      </w:pPr>
      <w:r w:rsidRPr="002F4596">
        <w:rPr>
          <w:u w:val="single"/>
        </w:rPr>
        <w:t>Dağılım:</w:t>
      </w:r>
    </w:p>
    <w:p w14:paraId="55A3782A" w14:textId="3220FBB6" w:rsidR="00CB2508" w:rsidRPr="002F4596" w:rsidRDefault="00A12CE4" w:rsidP="007B7CCA">
      <w:pPr>
        <w:pStyle w:val="GvdeMetni"/>
        <w:ind w:right="107"/>
        <w:jc w:val="both"/>
      </w:pPr>
      <w:proofErr w:type="spellStart"/>
      <w:r w:rsidRPr="002F4596">
        <w:t>Montelukast</w:t>
      </w:r>
      <w:proofErr w:type="spellEnd"/>
      <w:r w:rsidRPr="002F4596">
        <w:t xml:space="preserve"> plazma proteinlerine %99'dan </w:t>
      </w:r>
      <w:r w:rsidR="00F56394" w:rsidRPr="002F4596">
        <w:t>daha yüksek oranda</w:t>
      </w:r>
      <w:r w:rsidRPr="002F4596">
        <w:t xml:space="preserve"> bağlanır. </w:t>
      </w:r>
      <w:proofErr w:type="spellStart"/>
      <w:r w:rsidRPr="002F4596">
        <w:t>Montelukast</w:t>
      </w:r>
      <w:r w:rsidR="00F56394" w:rsidRPr="002F4596">
        <w:t>ın</w:t>
      </w:r>
      <w:proofErr w:type="spellEnd"/>
      <w:r w:rsidRPr="002F4596">
        <w:t xml:space="preserve"> kararlı durum dağılım hacmi 8-11 litre</w:t>
      </w:r>
      <w:r w:rsidR="00F56394" w:rsidRPr="002F4596">
        <w:t xml:space="preserve"> arasındadır</w:t>
      </w:r>
      <w:r w:rsidRPr="002F4596">
        <w:t xml:space="preserve">. </w:t>
      </w:r>
      <w:r w:rsidR="00F56394" w:rsidRPr="002F4596">
        <w:t xml:space="preserve">Radyoizotopla işaretlenmiş </w:t>
      </w:r>
      <w:proofErr w:type="spellStart"/>
      <w:r w:rsidR="00F56394" w:rsidRPr="002F4596">
        <w:t>montelukast</w:t>
      </w:r>
      <w:proofErr w:type="spellEnd"/>
      <w:r w:rsidR="00F56394" w:rsidRPr="002F4596">
        <w:t xml:space="preserve"> ile sıçanlarda </w:t>
      </w:r>
      <w:r w:rsidR="000A4834" w:rsidRPr="002F4596">
        <w:t xml:space="preserve">yapılan çalışmalar kan-beyin bariyerini minimal olarak geçtiğini göstermektedir. Ayrıca, radyoizotopla işaretlenmiş materyalin </w:t>
      </w:r>
      <w:r w:rsidRPr="002F4596">
        <w:t>dozdan</w:t>
      </w:r>
      <w:r w:rsidR="000A4834" w:rsidRPr="002F4596">
        <w:t xml:space="preserve"> sonra</w:t>
      </w:r>
      <w:r w:rsidRPr="002F4596">
        <w:t xml:space="preserve"> 24 saat</w:t>
      </w:r>
      <w:r w:rsidR="000A4834" w:rsidRPr="002F4596">
        <w:t>teki</w:t>
      </w:r>
      <w:r w:rsidRPr="002F4596">
        <w:t xml:space="preserve"> </w:t>
      </w:r>
      <w:r w:rsidR="000A4834" w:rsidRPr="002F4596">
        <w:t xml:space="preserve">konsantrasyonları </w:t>
      </w:r>
      <w:r w:rsidRPr="002F4596">
        <w:t xml:space="preserve">diğer tüm dokularda </w:t>
      </w:r>
      <w:r w:rsidR="000A4834" w:rsidRPr="002F4596">
        <w:t>minimaldir</w:t>
      </w:r>
      <w:r w:rsidRPr="002F4596">
        <w:t>.</w:t>
      </w:r>
    </w:p>
    <w:p w14:paraId="7B45BFCA" w14:textId="77777777" w:rsidR="00CB2508" w:rsidRPr="002F4596" w:rsidRDefault="00CB2508" w:rsidP="007B7CCA">
      <w:pPr>
        <w:pStyle w:val="GvdeMetni"/>
        <w:ind w:left="0"/>
        <w:jc w:val="both"/>
      </w:pPr>
    </w:p>
    <w:p w14:paraId="3DDBB519" w14:textId="77777777" w:rsidR="00CB2508" w:rsidRPr="002F4596" w:rsidRDefault="00A12CE4" w:rsidP="007B7CCA">
      <w:pPr>
        <w:pStyle w:val="GvdeMetni"/>
        <w:jc w:val="both"/>
      </w:pPr>
      <w:proofErr w:type="spellStart"/>
      <w:r w:rsidRPr="002F4596">
        <w:rPr>
          <w:u w:val="single"/>
        </w:rPr>
        <w:t>Biyotransformasvon</w:t>
      </w:r>
      <w:proofErr w:type="spellEnd"/>
      <w:r w:rsidRPr="002F4596">
        <w:rPr>
          <w:u w:val="single"/>
        </w:rPr>
        <w:t>:</w:t>
      </w:r>
    </w:p>
    <w:p w14:paraId="7EB6649B" w14:textId="79288520" w:rsidR="00032FD2" w:rsidRPr="002F4596" w:rsidRDefault="00A12CE4" w:rsidP="007B7CCA">
      <w:pPr>
        <w:pStyle w:val="GvdeMetni"/>
        <w:ind w:right="164"/>
        <w:jc w:val="both"/>
        <w:rPr>
          <w:strike/>
        </w:rPr>
      </w:pPr>
      <w:proofErr w:type="spellStart"/>
      <w:r w:rsidRPr="002F4596">
        <w:t>Montelukast</w:t>
      </w:r>
      <w:proofErr w:type="spellEnd"/>
      <w:r w:rsidRPr="002F4596">
        <w:t xml:space="preserve"> </w:t>
      </w:r>
      <w:r w:rsidR="000A4834" w:rsidRPr="002F4596">
        <w:t>yaygın</w:t>
      </w:r>
      <w:r w:rsidRPr="002F4596">
        <w:t xml:space="preserve"> şekilde metabolize olur. Terapötik dozlar</w:t>
      </w:r>
      <w:r w:rsidR="000A4834" w:rsidRPr="002F4596">
        <w:t>la</w:t>
      </w:r>
      <w:r w:rsidRPr="002F4596">
        <w:t xml:space="preserve"> yapılan çalışmalarda</w:t>
      </w:r>
      <w:r w:rsidR="000A4834" w:rsidRPr="002F4596">
        <w:t>,</w:t>
      </w:r>
      <w:r w:rsidRPr="002F4596">
        <w:t xml:space="preserve"> </w:t>
      </w:r>
      <w:proofErr w:type="spellStart"/>
      <w:r w:rsidRPr="002F4596">
        <w:t>montelukast</w:t>
      </w:r>
      <w:proofErr w:type="spellEnd"/>
      <w:r w:rsidRPr="002F4596">
        <w:t xml:space="preserve"> metabolitlerinin plazma konsantrasyonları </w:t>
      </w:r>
      <w:r w:rsidR="000A4834" w:rsidRPr="002F4596">
        <w:t xml:space="preserve">erişkin ve pediyatrik hastalarda kararlı durumda ölçülemeyecek kadar düşüktür. </w:t>
      </w:r>
    </w:p>
    <w:p w14:paraId="18E84999" w14:textId="77777777" w:rsidR="00032FD2" w:rsidRPr="002F4596" w:rsidRDefault="00032FD2" w:rsidP="007B7CCA">
      <w:pPr>
        <w:pStyle w:val="GvdeMetni"/>
        <w:ind w:right="164"/>
        <w:jc w:val="both"/>
        <w:rPr>
          <w:strike/>
        </w:rPr>
      </w:pPr>
    </w:p>
    <w:p w14:paraId="4814A615" w14:textId="5D928AF9" w:rsidR="00032FD2" w:rsidRPr="002F4596" w:rsidRDefault="00032FD2" w:rsidP="007B7CCA">
      <w:pPr>
        <w:pStyle w:val="GvdeMetni"/>
        <w:ind w:right="164"/>
        <w:jc w:val="both"/>
        <w:rPr>
          <w:strike/>
        </w:rPr>
      </w:pPr>
      <w:r w:rsidRPr="002F4596">
        <w:t xml:space="preserve">Sitokrom P450 2C8, </w:t>
      </w:r>
      <w:proofErr w:type="spellStart"/>
      <w:r w:rsidRPr="002F4596">
        <w:t>montelukastın</w:t>
      </w:r>
      <w:proofErr w:type="spellEnd"/>
      <w:r w:rsidRPr="002F4596">
        <w:t xml:space="preserve"> metabolizmasında </w:t>
      </w:r>
      <w:proofErr w:type="spellStart"/>
      <w:r w:rsidRPr="002F4596">
        <w:t>majör</w:t>
      </w:r>
      <w:proofErr w:type="spellEnd"/>
      <w:r w:rsidRPr="002F4596">
        <w:t xml:space="preserve"> enzimdir. Ayrıca insan </w:t>
      </w:r>
      <w:proofErr w:type="spellStart"/>
      <w:r w:rsidRPr="002F4596">
        <w:t>karaciğer</w:t>
      </w:r>
      <w:proofErr w:type="spellEnd"/>
      <w:r w:rsidRPr="002F4596">
        <w:t xml:space="preserve"> </w:t>
      </w:r>
      <w:proofErr w:type="spellStart"/>
      <w:r w:rsidRPr="002F4596">
        <w:t>mikrozomlarının</w:t>
      </w:r>
      <w:proofErr w:type="spellEnd"/>
      <w:r w:rsidRPr="002F4596">
        <w:t xml:space="preserve"> </w:t>
      </w:r>
      <w:proofErr w:type="spellStart"/>
      <w:r w:rsidRPr="002F4596">
        <w:t>kullanıldığı</w:t>
      </w:r>
      <w:proofErr w:type="spellEnd"/>
      <w:r w:rsidRPr="002F4596">
        <w:t xml:space="preserve"> </w:t>
      </w:r>
      <w:r w:rsidRPr="002F4596">
        <w:rPr>
          <w:i/>
          <w:iCs/>
        </w:rPr>
        <w:t xml:space="preserve">in vitro </w:t>
      </w:r>
      <w:proofErr w:type="spellStart"/>
      <w:r w:rsidRPr="002F4596">
        <w:t>çalışmalar</w:t>
      </w:r>
      <w:proofErr w:type="spellEnd"/>
      <w:r w:rsidRPr="002F4596">
        <w:t xml:space="preserve"> P450 3A4 ve 2C9 sitokromlarının </w:t>
      </w:r>
      <w:proofErr w:type="spellStart"/>
      <w:r w:rsidRPr="002F4596">
        <w:t>montelukast</w:t>
      </w:r>
      <w:proofErr w:type="spellEnd"/>
      <w:r w:rsidRPr="002F4596">
        <w:t xml:space="preserve"> metabolizmasında rol </w:t>
      </w:r>
      <w:proofErr w:type="spellStart"/>
      <w:r w:rsidRPr="002F4596">
        <w:t>oynadığını</w:t>
      </w:r>
      <w:proofErr w:type="spellEnd"/>
      <w:r w:rsidRPr="002F4596">
        <w:t xml:space="preserve"> </w:t>
      </w:r>
      <w:proofErr w:type="spellStart"/>
      <w:r w:rsidRPr="002F4596">
        <w:t>göstermektedir</w:t>
      </w:r>
      <w:proofErr w:type="spellEnd"/>
      <w:r w:rsidRPr="002F4596">
        <w:t xml:space="preserve">. </w:t>
      </w:r>
      <w:proofErr w:type="spellStart"/>
      <w:r w:rsidRPr="002F4596">
        <w:t>İnsan</w:t>
      </w:r>
      <w:proofErr w:type="spellEnd"/>
      <w:r w:rsidRPr="002F4596">
        <w:t xml:space="preserve"> </w:t>
      </w:r>
      <w:proofErr w:type="spellStart"/>
      <w:r w:rsidRPr="002F4596">
        <w:t>karaciğer</w:t>
      </w:r>
      <w:proofErr w:type="spellEnd"/>
      <w:r w:rsidRPr="002F4596">
        <w:t xml:space="preserve"> </w:t>
      </w:r>
      <w:proofErr w:type="spellStart"/>
      <w:r w:rsidRPr="002F4596">
        <w:t>mikrozomlarından</w:t>
      </w:r>
      <w:proofErr w:type="spellEnd"/>
      <w:r w:rsidRPr="002F4596">
        <w:t xml:space="preserve"> elde edilen ek </w:t>
      </w:r>
      <w:r w:rsidRPr="002F4596">
        <w:rPr>
          <w:i/>
          <w:iCs/>
        </w:rPr>
        <w:t xml:space="preserve">in vitro </w:t>
      </w:r>
      <w:proofErr w:type="spellStart"/>
      <w:r w:rsidRPr="002F4596">
        <w:t>sonuçlara</w:t>
      </w:r>
      <w:proofErr w:type="spellEnd"/>
      <w:r w:rsidRPr="002F4596">
        <w:t xml:space="preserve"> göre, </w:t>
      </w:r>
      <w:proofErr w:type="spellStart"/>
      <w:r w:rsidRPr="002F4596">
        <w:t>montelukastın</w:t>
      </w:r>
      <w:proofErr w:type="spellEnd"/>
      <w:r w:rsidRPr="002F4596">
        <w:t xml:space="preserve"> </w:t>
      </w:r>
      <w:proofErr w:type="spellStart"/>
      <w:r w:rsidRPr="002F4596">
        <w:t>terapötik</w:t>
      </w:r>
      <w:proofErr w:type="spellEnd"/>
      <w:r w:rsidRPr="002F4596">
        <w:t xml:space="preserve"> plazma konsantrasyonları P450 3A4, 2C9, 1A2, 2A6, 2C19 veya 2D6 sitokromlarını inhibe etmez. </w:t>
      </w:r>
      <w:r w:rsidRPr="002F4596">
        <w:lastRenderedPageBreak/>
        <w:t xml:space="preserve">Metabolitlerin </w:t>
      </w:r>
      <w:proofErr w:type="spellStart"/>
      <w:r w:rsidRPr="002F4596">
        <w:t>montelukastın</w:t>
      </w:r>
      <w:proofErr w:type="spellEnd"/>
      <w:r w:rsidRPr="002F4596">
        <w:t xml:space="preserve"> </w:t>
      </w:r>
      <w:proofErr w:type="spellStart"/>
      <w:r w:rsidRPr="002F4596">
        <w:t>terapötik</w:t>
      </w:r>
      <w:proofErr w:type="spellEnd"/>
      <w:r w:rsidRPr="002F4596">
        <w:t xml:space="preserve"> etkisine katkısı minimal </w:t>
      </w:r>
      <w:proofErr w:type="spellStart"/>
      <w:r w:rsidRPr="002F4596">
        <w:t>düzeydedir</w:t>
      </w:r>
      <w:proofErr w:type="spellEnd"/>
      <w:r w:rsidRPr="002F4596">
        <w:t xml:space="preserve">. </w:t>
      </w:r>
    </w:p>
    <w:p w14:paraId="7E22C211" w14:textId="77777777" w:rsidR="00032FD2" w:rsidRPr="002F4596" w:rsidRDefault="00032FD2" w:rsidP="007B7CCA">
      <w:pPr>
        <w:pStyle w:val="GvdeMetni"/>
        <w:jc w:val="both"/>
        <w:rPr>
          <w:u w:val="single"/>
        </w:rPr>
      </w:pPr>
    </w:p>
    <w:p w14:paraId="582ED53F" w14:textId="5B343D5B" w:rsidR="00CB2508" w:rsidRPr="002F4596" w:rsidRDefault="00A12CE4" w:rsidP="007B7CCA">
      <w:pPr>
        <w:pStyle w:val="GvdeMetni"/>
        <w:jc w:val="both"/>
      </w:pPr>
      <w:proofErr w:type="spellStart"/>
      <w:r w:rsidRPr="002F4596">
        <w:rPr>
          <w:u w:val="single"/>
        </w:rPr>
        <w:t>Eliminasvon</w:t>
      </w:r>
      <w:proofErr w:type="spellEnd"/>
      <w:r w:rsidRPr="002F4596">
        <w:rPr>
          <w:u w:val="single"/>
        </w:rPr>
        <w:t>:</w:t>
      </w:r>
    </w:p>
    <w:p w14:paraId="562E42FF" w14:textId="5AD9FDA4" w:rsidR="00CB2508" w:rsidRPr="002F4596" w:rsidRDefault="00A12CE4" w:rsidP="007B7CCA">
      <w:pPr>
        <w:pStyle w:val="GvdeMetni"/>
        <w:jc w:val="both"/>
      </w:pPr>
      <w:r w:rsidRPr="002F4596">
        <w:t>Sağlıklı</w:t>
      </w:r>
      <w:r w:rsidRPr="002F4596">
        <w:rPr>
          <w:spacing w:val="14"/>
        </w:rPr>
        <w:t xml:space="preserve"> </w:t>
      </w:r>
      <w:r w:rsidRPr="002F4596">
        <w:t>erişkinlerde</w:t>
      </w:r>
      <w:r w:rsidRPr="002F4596">
        <w:rPr>
          <w:spacing w:val="13"/>
        </w:rPr>
        <w:t xml:space="preserve"> </w:t>
      </w:r>
      <w:proofErr w:type="spellStart"/>
      <w:r w:rsidRPr="002F4596">
        <w:t>montelukastın</w:t>
      </w:r>
      <w:proofErr w:type="spellEnd"/>
      <w:r w:rsidRPr="002F4596">
        <w:rPr>
          <w:spacing w:val="14"/>
        </w:rPr>
        <w:t xml:space="preserve"> </w:t>
      </w:r>
      <w:r w:rsidRPr="002F4596">
        <w:t>plazma</w:t>
      </w:r>
      <w:r w:rsidRPr="002F4596">
        <w:rPr>
          <w:spacing w:val="13"/>
        </w:rPr>
        <w:t xml:space="preserve"> </w:t>
      </w:r>
      <w:proofErr w:type="spellStart"/>
      <w:r w:rsidRPr="002F4596">
        <w:t>klerensi</w:t>
      </w:r>
      <w:proofErr w:type="spellEnd"/>
      <w:r w:rsidRPr="002F4596">
        <w:rPr>
          <w:spacing w:val="14"/>
        </w:rPr>
        <w:t xml:space="preserve"> </w:t>
      </w:r>
      <w:r w:rsidRPr="002F4596">
        <w:t>ortalama</w:t>
      </w:r>
      <w:r w:rsidRPr="002F4596">
        <w:rPr>
          <w:spacing w:val="13"/>
        </w:rPr>
        <w:t xml:space="preserve"> </w:t>
      </w:r>
      <w:r w:rsidRPr="002F4596">
        <w:t>45</w:t>
      </w:r>
      <w:r w:rsidRPr="002F4596">
        <w:rPr>
          <w:spacing w:val="17"/>
        </w:rPr>
        <w:t xml:space="preserve"> </w:t>
      </w:r>
      <w:proofErr w:type="spellStart"/>
      <w:r w:rsidRPr="002F4596">
        <w:t>mL</w:t>
      </w:r>
      <w:proofErr w:type="spellEnd"/>
      <w:r w:rsidRPr="002F4596">
        <w:t>/</w:t>
      </w:r>
      <w:proofErr w:type="spellStart"/>
      <w:r w:rsidRPr="002F4596">
        <w:t>dakika'dır</w:t>
      </w:r>
      <w:proofErr w:type="spellEnd"/>
      <w:r w:rsidRPr="002F4596">
        <w:t>.</w:t>
      </w:r>
      <w:r w:rsidRPr="002F4596">
        <w:rPr>
          <w:spacing w:val="14"/>
        </w:rPr>
        <w:t xml:space="preserve"> </w:t>
      </w:r>
      <w:r w:rsidRPr="002F4596">
        <w:t>Radyo</w:t>
      </w:r>
      <w:r w:rsidR="00032FD2" w:rsidRPr="002F4596">
        <w:t xml:space="preserve">izotopla </w:t>
      </w:r>
      <w:r w:rsidRPr="002F4596">
        <w:t>işaretl</w:t>
      </w:r>
      <w:r w:rsidR="00032FD2" w:rsidRPr="002F4596">
        <w:t>enmiş</w:t>
      </w:r>
      <w:r w:rsidRPr="002F4596">
        <w:t xml:space="preserve"> </w:t>
      </w:r>
      <w:proofErr w:type="spellStart"/>
      <w:r w:rsidRPr="002F4596">
        <w:t>montelukastın</w:t>
      </w:r>
      <w:proofErr w:type="spellEnd"/>
      <w:r w:rsidRPr="002F4596">
        <w:t xml:space="preserve"> oral </w:t>
      </w:r>
      <w:r w:rsidR="00032FD2" w:rsidRPr="002F4596">
        <w:t xml:space="preserve">bir </w:t>
      </w:r>
      <w:r w:rsidRPr="002F4596">
        <w:t xml:space="preserve">dozunu takiben radyoaktivitenin %86'sı 5 günlük </w:t>
      </w:r>
      <w:proofErr w:type="spellStart"/>
      <w:r w:rsidR="00032FD2" w:rsidRPr="002F4596">
        <w:t>feçes</w:t>
      </w:r>
      <w:proofErr w:type="spellEnd"/>
      <w:r w:rsidR="00032FD2" w:rsidRPr="002F4596">
        <w:t xml:space="preserve"> örneklerinde ve &lt;</w:t>
      </w:r>
      <w:r w:rsidRPr="002F4596">
        <w:t>%0</w:t>
      </w:r>
      <w:r w:rsidRPr="002F4596">
        <w:rPr>
          <w:strike/>
        </w:rPr>
        <w:t>.</w:t>
      </w:r>
      <w:r w:rsidR="00032FD2" w:rsidRPr="002F4596">
        <w:t>,</w:t>
      </w:r>
      <w:r w:rsidRPr="002F4596">
        <w:t>2'</w:t>
      </w:r>
      <w:r w:rsidR="00032FD2" w:rsidRPr="002F4596">
        <w:t xml:space="preserve"> si </w:t>
      </w:r>
      <w:r w:rsidRPr="002F4596">
        <w:t xml:space="preserve">idrarda </w:t>
      </w:r>
      <w:r w:rsidR="00032FD2" w:rsidRPr="002F4596">
        <w:t>saptanmıştır</w:t>
      </w:r>
      <w:r w:rsidRPr="002F4596">
        <w:t xml:space="preserve">. </w:t>
      </w:r>
      <w:proofErr w:type="spellStart"/>
      <w:r w:rsidRPr="002F4596">
        <w:t>Montelukastın</w:t>
      </w:r>
      <w:proofErr w:type="spellEnd"/>
      <w:r w:rsidRPr="002F4596">
        <w:t xml:space="preserve"> oral biyoyararlanım </w:t>
      </w:r>
      <w:r w:rsidR="00032FD2" w:rsidRPr="002F4596">
        <w:t xml:space="preserve">rakamlarıyla birlikte ele alındığında bu, </w:t>
      </w:r>
      <w:proofErr w:type="spellStart"/>
      <w:r w:rsidRPr="002F4596">
        <w:t>montelukast</w:t>
      </w:r>
      <w:proofErr w:type="spellEnd"/>
      <w:r w:rsidRPr="002F4596">
        <w:t xml:space="preserve"> ve metabolitlerinin </w:t>
      </w:r>
      <w:r w:rsidR="00AA22C0" w:rsidRPr="002F4596">
        <w:t>neredeyse sadece safra yoluyla atıldığını gösterir</w:t>
      </w:r>
      <w:r w:rsidRPr="002F4596">
        <w:t>.</w:t>
      </w:r>
    </w:p>
    <w:p w14:paraId="47CD1950" w14:textId="77777777" w:rsidR="00CB2508" w:rsidRPr="002F4596" w:rsidRDefault="00CB2508" w:rsidP="007B7CCA">
      <w:pPr>
        <w:pStyle w:val="GvdeMetni"/>
        <w:ind w:left="0"/>
        <w:jc w:val="both"/>
      </w:pPr>
    </w:p>
    <w:p w14:paraId="2250E263" w14:textId="77777777" w:rsidR="00CB2508" w:rsidRPr="002F4596" w:rsidRDefault="00A12CE4" w:rsidP="007B7CCA">
      <w:pPr>
        <w:pStyle w:val="GvdeMetni"/>
        <w:jc w:val="both"/>
      </w:pPr>
      <w:r w:rsidRPr="002F4596">
        <w:rPr>
          <w:u w:val="single"/>
        </w:rPr>
        <w:t>Doğrusallık/Doğrusal Olmayan Durum:</w:t>
      </w:r>
    </w:p>
    <w:p w14:paraId="3C7DC154" w14:textId="7DA86DC8" w:rsidR="00036214" w:rsidRPr="002F4596" w:rsidRDefault="00AA22C0" w:rsidP="009D4A1E">
      <w:pPr>
        <w:pStyle w:val="GvdeMetni"/>
        <w:jc w:val="both"/>
      </w:pPr>
      <w:proofErr w:type="spellStart"/>
      <w:r w:rsidRPr="002F4596">
        <w:t>Montelukastın</w:t>
      </w:r>
      <w:proofErr w:type="spellEnd"/>
      <w:r w:rsidRPr="002F4596">
        <w:t xml:space="preserve"> farmakokinetik verileri 50 </w:t>
      </w:r>
      <w:proofErr w:type="spellStart"/>
      <w:r w:rsidRPr="002F4596">
        <w:t>mg’ye</w:t>
      </w:r>
      <w:proofErr w:type="spellEnd"/>
      <w:r w:rsidRPr="002F4596">
        <w:t xml:space="preserve"> kadar oral dozlarda lineere yakındır. </w:t>
      </w:r>
      <w:r w:rsidR="00A12CE4" w:rsidRPr="002F4596">
        <w:t xml:space="preserve">10 mg </w:t>
      </w:r>
      <w:proofErr w:type="spellStart"/>
      <w:r w:rsidRPr="002F4596">
        <w:t>montelukastın</w:t>
      </w:r>
      <w:proofErr w:type="spellEnd"/>
      <w:r w:rsidRPr="002F4596">
        <w:t xml:space="preserve"> günde tek doz kullanımı sırasında </w:t>
      </w:r>
      <w:r w:rsidR="00A12CE4" w:rsidRPr="002F4596">
        <w:t xml:space="preserve">ana ilaç </w:t>
      </w:r>
      <w:r w:rsidRPr="002F4596">
        <w:t xml:space="preserve">plazmada çok </w:t>
      </w:r>
      <w:r w:rsidR="00A12CE4" w:rsidRPr="002F4596">
        <w:t>az miktarda</w:t>
      </w:r>
      <w:r w:rsidRPr="002F4596">
        <w:t xml:space="preserve"> birikmiştir</w:t>
      </w:r>
      <w:r w:rsidR="00A12CE4" w:rsidRPr="002F4596">
        <w:t xml:space="preserve"> (</w:t>
      </w:r>
      <w:r w:rsidRPr="002F4596">
        <w:t xml:space="preserve">yaklaşık </w:t>
      </w:r>
      <w:r w:rsidR="007B7CCA" w:rsidRPr="002F4596">
        <w:t>%14).</w:t>
      </w:r>
    </w:p>
    <w:p w14:paraId="0CD04927" w14:textId="77777777" w:rsidR="00036214" w:rsidRPr="002F4596" w:rsidRDefault="00036214" w:rsidP="007B7CCA">
      <w:pPr>
        <w:pStyle w:val="GvdeMetni"/>
        <w:spacing w:before="5"/>
        <w:ind w:left="0"/>
        <w:jc w:val="both"/>
      </w:pPr>
    </w:p>
    <w:p w14:paraId="01E3FF6E" w14:textId="77777777" w:rsidR="00CB2508" w:rsidRPr="002F4596" w:rsidRDefault="00A12CE4" w:rsidP="007B7CCA">
      <w:pPr>
        <w:pStyle w:val="Balk1"/>
        <w:spacing w:line="240" w:lineRule="auto"/>
        <w:jc w:val="both"/>
      </w:pPr>
      <w:r w:rsidRPr="002F4596">
        <w:t>Hastalardaki karakteristik özellikler</w:t>
      </w:r>
    </w:p>
    <w:p w14:paraId="2CE366CA" w14:textId="7830E93C" w:rsidR="00AA22C0" w:rsidRPr="002F4596" w:rsidRDefault="001C598F" w:rsidP="007B7CCA">
      <w:pPr>
        <w:pStyle w:val="Balk1"/>
        <w:spacing w:line="240" w:lineRule="auto"/>
        <w:jc w:val="both"/>
        <w:rPr>
          <w:b w:val="0"/>
          <w:bCs w:val="0"/>
          <w:strike/>
        </w:rPr>
      </w:pPr>
      <w:proofErr w:type="spellStart"/>
      <w:r w:rsidRPr="002F4596">
        <w:rPr>
          <w:b w:val="0"/>
          <w:bCs w:val="0"/>
          <w:u w:val="single"/>
        </w:rPr>
        <w:t>Geriyatrik</w:t>
      </w:r>
      <w:proofErr w:type="spellEnd"/>
      <w:r w:rsidRPr="002F4596">
        <w:rPr>
          <w:b w:val="0"/>
          <w:bCs w:val="0"/>
          <w:u w:val="single"/>
        </w:rPr>
        <w:t xml:space="preserve"> popülasyon</w:t>
      </w:r>
    </w:p>
    <w:p w14:paraId="6502AFBA" w14:textId="5644F242" w:rsidR="00AA22C0" w:rsidRPr="002F4596" w:rsidRDefault="00AA22C0" w:rsidP="007B7CCA">
      <w:pPr>
        <w:pStyle w:val="Balk1"/>
        <w:spacing w:line="240" w:lineRule="auto"/>
        <w:jc w:val="both"/>
        <w:rPr>
          <w:b w:val="0"/>
          <w:bCs w:val="0"/>
        </w:rPr>
      </w:pPr>
      <w:r w:rsidRPr="002F4596">
        <w:rPr>
          <w:b w:val="0"/>
          <w:bCs w:val="0"/>
        </w:rPr>
        <w:t>Yaşlılarda doz ayarlaması gerekmez.</w:t>
      </w:r>
    </w:p>
    <w:p w14:paraId="11031DFC" w14:textId="77777777" w:rsidR="008B6E17" w:rsidRPr="002F4596" w:rsidRDefault="00AA22C0" w:rsidP="007B7CCA">
      <w:pPr>
        <w:pStyle w:val="NormalWeb"/>
        <w:ind w:left="284"/>
        <w:jc w:val="both"/>
        <w:rPr>
          <w:u w:val="single"/>
        </w:rPr>
      </w:pPr>
      <w:proofErr w:type="spellStart"/>
      <w:r w:rsidRPr="002F4596">
        <w:rPr>
          <w:u w:val="single"/>
        </w:rPr>
        <w:t>Karaciğer</w:t>
      </w:r>
      <w:proofErr w:type="spellEnd"/>
      <w:r w:rsidRPr="002F4596">
        <w:rPr>
          <w:u w:val="single"/>
        </w:rPr>
        <w:t xml:space="preserve"> </w:t>
      </w:r>
      <w:proofErr w:type="spellStart"/>
      <w:r w:rsidRPr="002F4596">
        <w:rPr>
          <w:u w:val="single"/>
        </w:rPr>
        <w:t>yetmezliği</w:t>
      </w:r>
      <w:proofErr w:type="spellEnd"/>
    </w:p>
    <w:p w14:paraId="105CFE49" w14:textId="081D15A9" w:rsidR="00AA22C0" w:rsidRPr="002F4596" w:rsidRDefault="008B6E17" w:rsidP="007B7CCA">
      <w:pPr>
        <w:pStyle w:val="NormalWeb"/>
        <w:ind w:left="284"/>
        <w:jc w:val="both"/>
        <w:rPr>
          <w:u w:val="single"/>
        </w:rPr>
      </w:pPr>
      <w:r w:rsidRPr="002F4596">
        <w:t>H</w:t>
      </w:r>
      <w:r w:rsidR="00AA22C0" w:rsidRPr="002F4596">
        <w:t xml:space="preserve">afif-orta derecede </w:t>
      </w:r>
      <w:proofErr w:type="spellStart"/>
      <w:r w:rsidR="00AA22C0" w:rsidRPr="002F4596">
        <w:t>karaciğer</w:t>
      </w:r>
      <w:proofErr w:type="spellEnd"/>
      <w:r w:rsidR="00AA22C0" w:rsidRPr="002F4596">
        <w:t xml:space="preserve"> </w:t>
      </w:r>
      <w:proofErr w:type="spellStart"/>
      <w:r w:rsidR="00AA22C0" w:rsidRPr="002F4596">
        <w:t>yetmezliği</w:t>
      </w:r>
      <w:proofErr w:type="spellEnd"/>
      <w:r w:rsidR="00AA22C0" w:rsidRPr="002F4596">
        <w:t xml:space="preserve"> olan hastalarda</w:t>
      </w:r>
      <w:r w:rsidRPr="002F4596">
        <w:t xml:space="preserve"> doz ayarlaması gerekmez. Ciddi </w:t>
      </w:r>
      <w:proofErr w:type="spellStart"/>
      <w:r w:rsidR="00AA22C0" w:rsidRPr="002F4596">
        <w:t>karaciğer</w:t>
      </w:r>
      <w:proofErr w:type="spellEnd"/>
      <w:r w:rsidR="00AA22C0" w:rsidRPr="002F4596">
        <w:t xml:space="preserve"> </w:t>
      </w:r>
      <w:proofErr w:type="spellStart"/>
      <w:r w:rsidR="00AA22C0" w:rsidRPr="002F4596">
        <w:t>yetmezliği</w:t>
      </w:r>
      <w:proofErr w:type="spellEnd"/>
      <w:r w:rsidR="00AA22C0" w:rsidRPr="002F4596">
        <w:t xml:space="preserve"> (Child-</w:t>
      </w:r>
      <w:proofErr w:type="spellStart"/>
      <w:r w:rsidR="00AA22C0" w:rsidRPr="002F4596">
        <w:t>Pugh</w:t>
      </w:r>
      <w:proofErr w:type="spellEnd"/>
      <w:r w:rsidR="00AA22C0" w:rsidRPr="002F4596">
        <w:t xml:space="preserve"> skoru&gt;9) olan hastalarda </w:t>
      </w:r>
      <w:proofErr w:type="spellStart"/>
      <w:r w:rsidR="00AA22C0" w:rsidRPr="002F4596">
        <w:t>montelukastın</w:t>
      </w:r>
      <w:proofErr w:type="spellEnd"/>
      <w:r w:rsidR="00AA22C0" w:rsidRPr="002F4596">
        <w:t xml:space="preserve"> </w:t>
      </w:r>
      <w:proofErr w:type="spellStart"/>
      <w:r w:rsidR="00AA22C0" w:rsidRPr="002F4596">
        <w:t>farmakokinetiğine</w:t>
      </w:r>
      <w:proofErr w:type="spellEnd"/>
      <w:r w:rsidR="00AA22C0" w:rsidRPr="002F4596">
        <w:t xml:space="preserve"> ilişkin </w:t>
      </w:r>
      <w:proofErr w:type="spellStart"/>
      <w:r w:rsidR="00AA22C0" w:rsidRPr="002F4596">
        <w:t>hiçbir</w:t>
      </w:r>
      <w:proofErr w:type="spellEnd"/>
      <w:r w:rsidR="00AA22C0" w:rsidRPr="002F4596">
        <w:t xml:space="preserve"> veri yoktur. </w:t>
      </w:r>
    </w:p>
    <w:p w14:paraId="48AE24D6" w14:textId="77777777" w:rsidR="008B6E17" w:rsidRPr="002F4596" w:rsidRDefault="00AA22C0" w:rsidP="007B7CCA">
      <w:pPr>
        <w:pStyle w:val="NormalWeb"/>
        <w:ind w:left="284"/>
        <w:jc w:val="both"/>
        <w:rPr>
          <w:u w:val="single"/>
        </w:rPr>
      </w:pPr>
      <w:proofErr w:type="spellStart"/>
      <w:r w:rsidRPr="002F4596">
        <w:rPr>
          <w:u w:val="single"/>
        </w:rPr>
        <w:t>Böbrek</w:t>
      </w:r>
      <w:proofErr w:type="spellEnd"/>
      <w:r w:rsidRPr="002F4596">
        <w:rPr>
          <w:u w:val="single"/>
        </w:rPr>
        <w:t xml:space="preserve"> </w:t>
      </w:r>
      <w:proofErr w:type="spellStart"/>
      <w:r w:rsidRPr="002F4596">
        <w:rPr>
          <w:u w:val="single"/>
        </w:rPr>
        <w:t>yetmezliği</w:t>
      </w:r>
      <w:proofErr w:type="spellEnd"/>
    </w:p>
    <w:p w14:paraId="6C0B6972" w14:textId="2E4760B5" w:rsidR="00AA22C0" w:rsidRPr="002F4596" w:rsidRDefault="008B6E17" w:rsidP="007B7CCA">
      <w:pPr>
        <w:pStyle w:val="NormalWeb"/>
        <w:ind w:left="284"/>
        <w:jc w:val="both"/>
      </w:pPr>
      <w:proofErr w:type="spellStart"/>
      <w:r w:rsidRPr="002F4596">
        <w:t>B</w:t>
      </w:r>
      <w:r w:rsidR="00AA22C0" w:rsidRPr="002F4596">
        <w:t>öbrek</w:t>
      </w:r>
      <w:proofErr w:type="spellEnd"/>
      <w:r w:rsidR="00AA22C0" w:rsidRPr="002F4596">
        <w:t xml:space="preserve"> </w:t>
      </w:r>
      <w:proofErr w:type="spellStart"/>
      <w:r w:rsidR="00AA22C0" w:rsidRPr="002F4596">
        <w:t>bozukluğu</w:t>
      </w:r>
      <w:proofErr w:type="spellEnd"/>
      <w:r w:rsidR="00AA22C0" w:rsidRPr="002F4596">
        <w:t xml:space="preserve"> olan hastalarda </w:t>
      </w:r>
      <w:proofErr w:type="spellStart"/>
      <w:r w:rsidR="00AA22C0" w:rsidRPr="002F4596">
        <w:t>çalışma</w:t>
      </w:r>
      <w:proofErr w:type="spellEnd"/>
      <w:r w:rsidR="00AA22C0" w:rsidRPr="002F4596">
        <w:t xml:space="preserve"> </w:t>
      </w:r>
      <w:proofErr w:type="spellStart"/>
      <w:r w:rsidR="00AA22C0" w:rsidRPr="002F4596">
        <w:t>yapılmamıştır</w:t>
      </w:r>
      <w:proofErr w:type="spellEnd"/>
      <w:r w:rsidR="00AA22C0" w:rsidRPr="002F4596">
        <w:t xml:space="preserve">. </w:t>
      </w:r>
      <w:proofErr w:type="spellStart"/>
      <w:r w:rsidR="00AA22C0" w:rsidRPr="002F4596">
        <w:t>Montelukast</w:t>
      </w:r>
      <w:proofErr w:type="spellEnd"/>
      <w:r w:rsidR="00AA22C0" w:rsidRPr="002F4596">
        <w:t xml:space="preserve"> ve metabolitleri safra yoluyla </w:t>
      </w:r>
      <w:proofErr w:type="spellStart"/>
      <w:r w:rsidR="00AA22C0" w:rsidRPr="002F4596">
        <w:t>atıldığından</w:t>
      </w:r>
      <w:proofErr w:type="spellEnd"/>
      <w:r w:rsidR="00AA22C0" w:rsidRPr="002F4596">
        <w:t xml:space="preserve">, </w:t>
      </w:r>
      <w:proofErr w:type="spellStart"/>
      <w:r w:rsidR="00AA22C0" w:rsidRPr="002F4596">
        <w:t>böbrek</w:t>
      </w:r>
      <w:proofErr w:type="spellEnd"/>
      <w:r w:rsidR="00AA22C0" w:rsidRPr="002F4596">
        <w:t xml:space="preserve"> </w:t>
      </w:r>
      <w:proofErr w:type="spellStart"/>
      <w:r w:rsidR="00AA22C0" w:rsidRPr="002F4596">
        <w:t>bozukluğu</w:t>
      </w:r>
      <w:proofErr w:type="spellEnd"/>
      <w:r w:rsidR="00AA22C0" w:rsidRPr="002F4596">
        <w:t xml:space="preserve"> olan hastalarda doz ayarlamasına </w:t>
      </w:r>
      <w:proofErr w:type="spellStart"/>
      <w:r w:rsidR="00AA22C0" w:rsidRPr="002F4596">
        <w:t>ihtiyac</w:t>
      </w:r>
      <w:proofErr w:type="spellEnd"/>
      <w:r w:rsidR="00AA22C0" w:rsidRPr="002F4596">
        <w:t xml:space="preserve">̧ duyulması beklenmez. </w:t>
      </w:r>
    </w:p>
    <w:p w14:paraId="33A580AD" w14:textId="0D1FE830" w:rsidR="00CB2508" w:rsidRPr="002F4596" w:rsidRDefault="00A12CE4" w:rsidP="007B7CCA">
      <w:pPr>
        <w:pStyle w:val="GvdeMetni"/>
        <w:ind w:right="105"/>
        <w:jc w:val="both"/>
      </w:pPr>
      <w:proofErr w:type="spellStart"/>
      <w:r w:rsidRPr="002F4596">
        <w:t>Montelukastın</w:t>
      </w:r>
      <w:proofErr w:type="spellEnd"/>
      <w:r w:rsidRPr="002F4596">
        <w:t xml:space="preserve"> yüksek dozları </w:t>
      </w:r>
      <w:r w:rsidR="00EF34C1" w:rsidRPr="002F4596">
        <w:t xml:space="preserve">uygulandığında (önerilen </w:t>
      </w:r>
      <w:r w:rsidRPr="002F4596">
        <w:t>yetişkin dozunun 20</w:t>
      </w:r>
      <w:r w:rsidR="00EF34C1" w:rsidRPr="002F4596">
        <w:t xml:space="preserve"> ve </w:t>
      </w:r>
      <w:r w:rsidRPr="002F4596">
        <w:t>60 katı) plazma teofilin konsantrasyon</w:t>
      </w:r>
      <w:r w:rsidR="00EF34C1" w:rsidRPr="002F4596">
        <w:t>unda</w:t>
      </w:r>
      <w:r w:rsidRPr="002F4596">
        <w:t xml:space="preserve"> azalma gözlenmiştir. Bu etki </w:t>
      </w:r>
      <w:r w:rsidR="00EF34C1" w:rsidRPr="002F4596">
        <w:t>önerilen günde bir kez</w:t>
      </w:r>
      <w:r w:rsidRPr="002F4596">
        <w:t xml:space="preserve"> 10 mg doz</w:t>
      </w:r>
      <w:r w:rsidR="00EF34C1" w:rsidRPr="002F4596">
        <w:t>uyla</w:t>
      </w:r>
      <w:r w:rsidRPr="002F4596">
        <w:t xml:space="preserve"> görülmemiştir.</w:t>
      </w:r>
    </w:p>
    <w:p w14:paraId="6F463886" w14:textId="77777777" w:rsidR="00CB2508" w:rsidRPr="002F4596" w:rsidRDefault="00CB2508" w:rsidP="007B7CCA">
      <w:pPr>
        <w:pStyle w:val="GvdeMetni"/>
        <w:spacing w:before="4"/>
        <w:ind w:left="0"/>
        <w:jc w:val="both"/>
      </w:pPr>
    </w:p>
    <w:p w14:paraId="73F3580D" w14:textId="77777777" w:rsidR="00CB2508" w:rsidRPr="002F4596" w:rsidRDefault="00A12CE4" w:rsidP="007B7CCA">
      <w:pPr>
        <w:pStyle w:val="Balk1"/>
        <w:numPr>
          <w:ilvl w:val="1"/>
          <w:numId w:val="2"/>
        </w:numPr>
        <w:tabs>
          <w:tab w:val="left" w:pos="671"/>
        </w:tabs>
        <w:spacing w:before="1" w:line="240" w:lineRule="auto"/>
        <w:ind w:left="670" w:hanging="421"/>
        <w:jc w:val="both"/>
      </w:pPr>
      <w:r w:rsidRPr="002F4596">
        <w:t>Klinik öncesi güvenlilik</w:t>
      </w:r>
      <w:r w:rsidRPr="002F4596">
        <w:rPr>
          <w:spacing w:val="-1"/>
        </w:rPr>
        <w:t xml:space="preserve"> </w:t>
      </w:r>
      <w:r w:rsidRPr="002F4596">
        <w:t>verileri</w:t>
      </w:r>
    </w:p>
    <w:p w14:paraId="5985CFCD" w14:textId="77777777" w:rsidR="00CB2508" w:rsidRPr="002F4596" w:rsidRDefault="00CB2508" w:rsidP="007B7CCA">
      <w:pPr>
        <w:pStyle w:val="GvdeMetni"/>
        <w:spacing w:before="6"/>
        <w:ind w:left="0"/>
        <w:jc w:val="both"/>
        <w:rPr>
          <w:b/>
        </w:rPr>
      </w:pPr>
    </w:p>
    <w:p w14:paraId="7D81C6A8" w14:textId="77777777" w:rsidR="00CB2508" w:rsidRPr="002F4596" w:rsidRDefault="00A12CE4" w:rsidP="007B7CCA">
      <w:pPr>
        <w:ind w:left="250"/>
        <w:jc w:val="both"/>
        <w:rPr>
          <w:i/>
          <w:sz w:val="24"/>
          <w:szCs w:val="24"/>
        </w:rPr>
      </w:pPr>
      <w:proofErr w:type="spellStart"/>
      <w:r w:rsidRPr="002F4596">
        <w:rPr>
          <w:i/>
          <w:sz w:val="24"/>
          <w:szCs w:val="24"/>
        </w:rPr>
        <w:t>Desloratadin</w:t>
      </w:r>
      <w:proofErr w:type="spellEnd"/>
    </w:p>
    <w:p w14:paraId="1506906E" w14:textId="4AAC97A8" w:rsidR="007930EC" w:rsidRPr="002F4596" w:rsidRDefault="00A12CE4" w:rsidP="007B7CCA">
      <w:pPr>
        <w:pStyle w:val="GvdeMetni"/>
        <w:ind w:right="208"/>
        <w:jc w:val="both"/>
      </w:pPr>
      <w:proofErr w:type="spellStart"/>
      <w:r w:rsidRPr="002F4596">
        <w:t>Desloratadin</w:t>
      </w:r>
      <w:proofErr w:type="spellEnd"/>
      <w:r w:rsidRPr="002F4596">
        <w:t xml:space="preserve">, </w:t>
      </w:r>
      <w:proofErr w:type="spellStart"/>
      <w:r w:rsidRPr="002F4596">
        <w:t>loratadinin</w:t>
      </w:r>
      <w:proofErr w:type="spellEnd"/>
      <w:r w:rsidRPr="002F4596">
        <w:t xml:space="preserve"> primer aktif metabolitidir. </w:t>
      </w:r>
      <w:proofErr w:type="spellStart"/>
      <w:r w:rsidRPr="002F4596">
        <w:t>Desloratadin</w:t>
      </w:r>
      <w:proofErr w:type="spellEnd"/>
      <w:r w:rsidRPr="002F4596">
        <w:t xml:space="preserve"> ve </w:t>
      </w:r>
      <w:proofErr w:type="spellStart"/>
      <w:r w:rsidRPr="002F4596">
        <w:t>loratadin</w:t>
      </w:r>
      <w:proofErr w:type="spellEnd"/>
      <w:r w:rsidRPr="002F4596">
        <w:t xml:space="preserve"> </w:t>
      </w:r>
      <w:r w:rsidR="00864BED" w:rsidRPr="002F4596">
        <w:t xml:space="preserve">ile </w:t>
      </w:r>
      <w:r w:rsidR="00EF34C1" w:rsidRPr="002F4596">
        <w:t xml:space="preserve">yapılmış, </w:t>
      </w:r>
      <w:proofErr w:type="spellStart"/>
      <w:r w:rsidR="00EF34C1" w:rsidRPr="002F4596">
        <w:t>desloratadine</w:t>
      </w:r>
      <w:proofErr w:type="spellEnd"/>
      <w:r w:rsidR="00EF34C1" w:rsidRPr="002F4596">
        <w:t xml:space="preserve"> maruziyetin </w:t>
      </w:r>
      <w:proofErr w:type="spellStart"/>
      <w:r w:rsidRPr="002F4596">
        <w:t>desloratadin</w:t>
      </w:r>
      <w:proofErr w:type="spellEnd"/>
      <w:r w:rsidRPr="002F4596">
        <w:t xml:space="preserve"> ve </w:t>
      </w:r>
      <w:proofErr w:type="spellStart"/>
      <w:r w:rsidRPr="002F4596">
        <w:t>loratadinin</w:t>
      </w:r>
      <w:proofErr w:type="spellEnd"/>
      <w:r w:rsidRPr="002F4596">
        <w:t xml:space="preserve"> toksisite profil</w:t>
      </w:r>
      <w:r w:rsidR="00EF34C1" w:rsidRPr="002F4596">
        <w:t>ine</w:t>
      </w:r>
      <w:r w:rsidR="007B7CCA" w:rsidRPr="002F4596">
        <w:rPr>
          <w:strike/>
        </w:rPr>
        <w:t xml:space="preserve"> </w:t>
      </w:r>
      <w:r w:rsidRPr="002F4596">
        <w:t xml:space="preserve">kalitatif ya da kantitatif </w:t>
      </w:r>
      <w:r w:rsidR="007930EC" w:rsidRPr="002F4596">
        <w:t>farklarını gösteren, karşılaştırılabilir seviyede klinik çalışma bulunmamaktadır.</w:t>
      </w:r>
    </w:p>
    <w:p w14:paraId="13DB20DB" w14:textId="77777777" w:rsidR="007930EC" w:rsidRPr="002F4596" w:rsidRDefault="007930EC" w:rsidP="007B7CCA">
      <w:pPr>
        <w:pStyle w:val="GvdeMetni"/>
        <w:ind w:right="208"/>
        <w:jc w:val="both"/>
      </w:pPr>
    </w:p>
    <w:p w14:paraId="76AF1D67" w14:textId="382B4332" w:rsidR="00CB2508" w:rsidRPr="002F4596" w:rsidRDefault="007930EC" w:rsidP="007B7CCA">
      <w:pPr>
        <w:pStyle w:val="GvdeMetni"/>
        <w:ind w:right="208"/>
        <w:jc w:val="both"/>
      </w:pPr>
      <w:proofErr w:type="spellStart"/>
      <w:r w:rsidRPr="002F4596">
        <w:t>K</w:t>
      </w:r>
      <w:r w:rsidR="00A12CE4" w:rsidRPr="002F4596">
        <w:t>linikdışı</w:t>
      </w:r>
      <w:proofErr w:type="spellEnd"/>
      <w:r w:rsidR="00A12CE4" w:rsidRPr="002F4596">
        <w:t xml:space="preserve"> veriler, güvenlilik farmakolojisi, tekrarlı doz toksisitesi, genotoksisite ve </w:t>
      </w:r>
      <w:r w:rsidRPr="002F4596">
        <w:t xml:space="preserve">karsinojenik potansiyel, üreme toksisitesi ve gelişimi inceleyen klasik çalışmalara dayanarak </w:t>
      </w:r>
      <w:r w:rsidR="00A12CE4" w:rsidRPr="002F4596">
        <w:t xml:space="preserve">insanlar için </w:t>
      </w:r>
      <w:r w:rsidRPr="002F4596">
        <w:t xml:space="preserve">hiçbir özel tehlikenin olmadığını ortaya koymaktadır. Karsinojenik </w:t>
      </w:r>
      <w:r w:rsidR="00864BED" w:rsidRPr="002F4596">
        <w:t>potansiyelinin olmadığı</w:t>
      </w:r>
      <w:r w:rsidRPr="002F4596">
        <w:t xml:space="preserve">, </w:t>
      </w:r>
      <w:proofErr w:type="spellStart"/>
      <w:r w:rsidRPr="002F4596">
        <w:t>desloratadin</w:t>
      </w:r>
      <w:proofErr w:type="spellEnd"/>
      <w:r w:rsidRPr="002F4596">
        <w:t xml:space="preserve"> ve </w:t>
      </w:r>
      <w:proofErr w:type="spellStart"/>
      <w:r w:rsidRPr="002F4596">
        <w:t>loratadinle</w:t>
      </w:r>
      <w:proofErr w:type="spellEnd"/>
      <w:r w:rsidRPr="002F4596">
        <w:t xml:space="preserve"> yapılmış klinik çalışmalarda gösterilmiştir</w:t>
      </w:r>
      <w:r w:rsidR="00A12CE4" w:rsidRPr="002F4596">
        <w:t>.</w:t>
      </w:r>
    </w:p>
    <w:p w14:paraId="3707FAB8" w14:textId="77777777" w:rsidR="00CB2508" w:rsidRPr="002F4596" w:rsidRDefault="00CB2508" w:rsidP="007B7CCA">
      <w:pPr>
        <w:pStyle w:val="GvdeMetni"/>
        <w:ind w:left="0"/>
        <w:jc w:val="both"/>
      </w:pPr>
    </w:p>
    <w:p w14:paraId="5A069CD4" w14:textId="77777777" w:rsidR="00224739" w:rsidRPr="002F4596" w:rsidRDefault="00A12CE4" w:rsidP="007B7CCA">
      <w:pPr>
        <w:spacing w:before="1"/>
        <w:ind w:left="250"/>
        <w:jc w:val="both"/>
        <w:rPr>
          <w:i/>
          <w:sz w:val="24"/>
          <w:szCs w:val="24"/>
        </w:rPr>
      </w:pPr>
      <w:proofErr w:type="spellStart"/>
      <w:r w:rsidRPr="002F4596">
        <w:rPr>
          <w:i/>
          <w:sz w:val="24"/>
          <w:szCs w:val="24"/>
        </w:rPr>
        <w:t>Montelukast</w:t>
      </w:r>
      <w:proofErr w:type="spellEnd"/>
    </w:p>
    <w:p w14:paraId="4B22200A" w14:textId="0A4B3F87" w:rsidR="00CB2508" w:rsidRPr="002F4596" w:rsidRDefault="007930EC" w:rsidP="007B7CCA">
      <w:pPr>
        <w:spacing w:before="1"/>
        <w:ind w:left="250"/>
        <w:jc w:val="both"/>
        <w:rPr>
          <w:i/>
          <w:sz w:val="24"/>
          <w:szCs w:val="24"/>
        </w:rPr>
      </w:pPr>
      <w:r w:rsidRPr="002F4596">
        <w:rPr>
          <w:sz w:val="24"/>
          <w:szCs w:val="24"/>
        </w:rPr>
        <w:t>H</w:t>
      </w:r>
      <w:r w:rsidR="00A12CE4" w:rsidRPr="002F4596">
        <w:rPr>
          <w:sz w:val="24"/>
          <w:szCs w:val="24"/>
        </w:rPr>
        <w:t>ayvan</w:t>
      </w:r>
      <w:r w:rsidRPr="002F4596">
        <w:rPr>
          <w:sz w:val="24"/>
          <w:szCs w:val="24"/>
        </w:rPr>
        <w:t>lardaki</w:t>
      </w:r>
      <w:r w:rsidR="00A12CE4" w:rsidRPr="002F4596">
        <w:rPr>
          <w:sz w:val="24"/>
          <w:szCs w:val="24"/>
        </w:rPr>
        <w:t xml:space="preserve"> toksisite çalışmalarında, serum </w:t>
      </w:r>
      <w:r w:rsidRPr="002F4596">
        <w:rPr>
          <w:sz w:val="24"/>
          <w:szCs w:val="24"/>
        </w:rPr>
        <w:t xml:space="preserve">biyokimyasında ALT, glukoz, fosfor ve </w:t>
      </w:r>
      <w:proofErr w:type="spellStart"/>
      <w:r w:rsidRPr="002F4596">
        <w:rPr>
          <w:sz w:val="24"/>
          <w:szCs w:val="24"/>
        </w:rPr>
        <w:t>trigliserid</w:t>
      </w:r>
      <w:proofErr w:type="spellEnd"/>
      <w:r w:rsidRPr="002F4596">
        <w:rPr>
          <w:sz w:val="24"/>
          <w:szCs w:val="24"/>
        </w:rPr>
        <w:t xml:space="preserve"> düzeylerinde küçük</w:t>
      </w:r>
      <w:r w:rsidR="00A86292" w:rsidRPr="002F4596">
        <w:rPr>
          <w:sz w:val="24"/>
          <w:szCs w:val="24"/>
        </w:rPr>
        <w:t>, geçici değişiklikler görülmüştür. Hayvanlardaki toksisite bulguları artmış</w:t>
      </w:r>
      <w:r w:rsidRPr="002F4596">
        <w:rPr>
          <w:sz w:val="24"/>
          <w:szCs w:val="24"/>
        </w:rPr>
        <w:t xml:space="preserve"> </w:t>
      </w:r>
      <w:r w:rsidR="00A12CE4" w:rsidRPr="002F4596">
        <w:rPr>
          <w:sz w:val="24"/>
          <w:szCs w:val="24"/>
        </w:rPr>
        <w:t xml:space="preserve">tükürük </w:t>
      </w:r>
      <w:r w:rsidR="00A86292" w:rsidRPr="002F4596">
        <w:rPr>
          <w:sz w:val="24"/>
          <w:szCs w:val="24"/>
        </w:rPr>
        <w:t>salgılanması</w:t>
      </w:r>
      <w:r w:rsidR="00A12CE4" w:rsidRPr="002F4596">
        <w:rPr>
          <w:sz w:val="24"/>
          <w:szCs w:val="24"/>
        </w:rPr>
        <w:t xml:space="preserve">, </w:t>
      </w:r>
      <w:proofErr w:type="spellStart"/>
      <w:r w:rsidR="00A12CE4" w:rsidRPr="002F4596">
        <w:rPr>
          <w:sz w:val="24"/>
          <w:szCs w:val="24"/>
        </w:rPr>
        <w:t>gastrointestinal</w:t>
      </w:r>
      <w:proofErr w:type="spellEnd"/>
      <w:r w:rsidR="00A12CE4" w:rsidRPr="002F4596">
        <w:rPr>
          <w:sz w:val="24"/>
          <w:szCs w:val="24"/>
        </w:rPr>
        <w:t xml:space="preserve"> semptomlar</w:t>
      </w:r>
      <w:r w:rsidR="00A86292" w:rsidRPr="002F4596">
        <w:rPr>
          <w:sz w:val="24"/>
          <w:szCs w:val="24"/>
        </w:rPr>
        <w:t>, yumuşak dışkı</w:t>
      </w:r>
      <w:r w:rsidR="00A12CE4" w:rsidRPr="002F4596">
        <w:rPr>
          <w:sz w:val="24"/>
          <w:szCs w:val="24"/>
        </w:rPr>
        <w:t xml:space="preserve"> ve iyon dengesizliğidir. Bu </w:t>
      </w:r>
      <w:r w:rsidR="00A86292" w:rsidRPr="002F4596">
        <w:rPr>
          <w:sz w:val="24"/>
          <w:szCs w:val="24"/>
        </w:rPr>
        <w:t xml:space="preserve">olaylar </w:t>
      </w:r>
      <w:r w:rsidR="00A12CE4" w:rsidRPr="002F4596">
        <w:rPr>
          <w:sz w:val="24"/>
          <w:szCs w:val="24"/>
        </w:rPr>
        <w:t>klinik doz</w:t>
      </w:r>
      <w:r w:rsidR="00A86292" w:rsidRPr="002F4596">
        <w:rPr>
          <w:sz w:val="24"/>
          <w:szCs w:val="24"/>
        </w:rPr>
        <w:t>aj</w:t>
      </w:r>
      <w:r w:rsidR="00A12CE4" w:rsidRPr="002F4596">
        <w:rPr>
          <w:sz w:val="24"/>
          <w:szCs w:val="24"/>
        </w:rPr>
        <w:t>da görülen sistemik maruz kal</w:t>
      </w:r>
      <w:r w:rsidR="00A86292" w:rsidRPr="002F4596">
        <w:rPr>
          <w:sz w:val="24"/>
          <w:szCs w:val="24"/>
        </w:rPr>
        <w:t>ım</w:t>
      </w:r>
      <w:r w:rsidR="00A12CE4" w:rsidRPr="002F4596">
        <w:rPr>
          <w:sz w:val="24"/>
          <w:szCs w:val="24"/>
        </w:rPr>
        <w:t xml:space="preserve">ın </w:t>
      </w:r>
      <w:r w:rsidR="00A86292" w:rsidRPr="002F4596">
        <w:rPr>
          <w:sz w:val="24"/>
          <w:szCs w:val="24"/>
        </w:rPr>
        <w:t>&gt;</w:t>
      </w:r>
      <w:r w:rsidR="00A12CE4" w:rsidRPr="002F4596">
        <w:rPr>
          <w:sz w:val="24"/>
          <w:szCs w:val="24"/>
        </w:rPr>
        <w:t>17 katın</w:t>
      </w:r>
      <w:r w:rsidR="00A86292" w:rsidRPr="002F4596">
        <w:rPr>
          <w:sz w:val="24"/>
          <w:szCs w:val="24"/>
        </w:rPr>
        <w:t>a</w:t>
      </w:r>
      <w:r w:rsidR="00A12CE4" w:rsidRPr="002F4596">
        <w:rPr>
          <w:strike/>
          <w:sz w:val="24"/>
          <w:szCs w:val="24"/>
        </w:rPr>
        <w:t xml:space="preserve"> </w:t>
      </w:r>
      <w:r w:rsidR="00A86292" w:rsidRPr="002F4596">
        <w:rPr>
          <w:sz w:val="24"/>
          <w:szCs w:val="24"/>
        </w:rPr>
        <w:t xml:space="preserve">yol açan </w:t>
      </w:r>
      <w:r w:rsidR="00A86292" w:rsidRPr="002F4596">
        <w:rPr>
          <w:sz w:val="24"/>
          <w:szCs w:val="24"/>
        </w:rPr>
        <w:lastRenderedPageBreak/>
        <w:t>dozajlarda ortaya çıkmıştır</w:t>
      </w:r>
      <w:r w:rsidR="00A12CE4" w:rsidRPr="002F4596">
        <w:rPr>
          <w:sz w:val="24"/>
          <w:szCs w:val="24"/>
        </w:rPr>
        <w:t>. Maymunlarda</w:t>
      </w:r>
      <w:r w:rsidR="007B7CCA" w:rsidRPr="002F4596">
        <w:rPr>
          <w:sz w:val="24"/>
          <w:szCs w:val="24"/>
        </w:rPr>
        <w:t xml:space="preserve">, </w:t>
      </w:r>
      <w:r w:rsidR="00A86292" w:rsidRPr="002F4596">
        <w:rPr>
          <w:sz w:val="24"/>
          <w:szCs w:val="24"/>
        </w:rPr>
        <w:t xml:space="preserve">istenmeyen </w:t>
      </w:r>
      <w:r w:rsidR="00A12CE4" w:rsidRPr="002F4596">
        <w:rPr>
          <w:sz w:val="24"/>
          <w:szCs w:val="24"/>
        </w:rPr>
        <w:t xml:space="preserve">etkiler </w:t>
      </w:r>
      <w:r w:rsidR="00A86292" w:rsidRPr="002F4596">
        <w:rPr>
          <w:sz w:val="24"/>
          <w:szCs w:val="24"/>
        </w:rPr>
        <w:t xml:space="preserve">günde 150 mg/kg’dan yüksek dozlarda </w:t>
      </w:r>
      <w:r w:rsidR="00A12CE4" w:rsidRPr="002F4596">
        <w:rPr>
          <w:sz w:val="24"/>
          <w:szCs w:val="24"/>
        </w:rPr>
        <w:t>(klinik dozda görülen sistemik maruz kal</w:t>
      </w:r>
      <w:r w:rsidR="00A86292" w:rsidRPr="002F4596">
        <w:rPr>
          <w:sz w:val="24"/>
          <w:szCs w:val="24"/>
        </w:rPr>
        <w:t>ım</w:t>
      </w:r>
      <w:r w:rsidR="00A12CE4" w:rsidRPr="002F4596">
        <w:rPr>
          <w:sz w:val="24"/>
          <w:szCs w:val="24"/>
        </w:rPr>
        <w:t xml:space="preserve">ın </w:t>
      </w:r>
      <w:r w:rsidR="00A86292" w:rsidRPr="002F4596">
        <w:rPr>
          <w:sz w:val="24"/>
          <w:szCs w:val="24"/>
        </w:rPr>
        <w:t>&gt;</w:t>
      </w:r>
      <w:r w:rsidR="00A12CE4" w:rsidRPr="002F4596">
        <w:rPr>
          <w:sz w:val="24"/>
          <w:szCs w:val="24"/>
        </w:rPr>
        <w:t>232 katı</w:t>
      </w:r>
      <w:r w:rsidR="007D3E34" w:rsidRPr="002F4596">
        <w:rPr>
          <w:sz w:val="24"/>
          <w:szCs w:val="24"/>
        </w:rPr>
        <w:t xml:space="preserve">) görülmüştür. </w:t>
      </w:r>
      <w:r w:rsidR="00A12CE4" w:rsidRPr="002F4596">
        <w:rPr>
          <w:sz w:val="24"/>
          <w:szCs w:val="24"/>
        </w:rPr>
        <w:t xml:space="preserve">Hayvan çalışmalarında </w:t>
      </w:r>
      <w:proofErr w:type="spellStart"/>
      <w:r w:rsidR="007D3E34" w:rsidRPr="002F4596">
        <w:rPr>
          <w:sz w:val="24"/>
          <w:szCs w:val="24"/>
        </w:rPr>
        <w:t>montelukast</w:t>
      </w:r>
      <w:proofErr w:type="spellEnd"/>
      <w:r w:rsidR="007D3E34" w:rsidRPr="002F4596">
        <w:rPr>
          <w:sz w:val="24"/>
          <w:szCs w:val="24"/>
        </w:rPr>
        <w:t xml:space="preserve"> klinik sistemik maruz kalımın 24 katından daha fazla sistemik maruz kalımda fertilite veya </w:t>
      </w:r>
      <w:proofErr w:type="spellStart"/>
      <w:r w:rsidR="007D3E34" w:rsidRPr="002F4596">
        <w:rPr>
          <w:sz w:val="24"/>
          <w:szCs w:val="24"/>
        </w:rPr>
        <w:t>üreme</w:t>
      </w:r>
      <w:proofErr w:type="spellEnd"/>
      <w:r w:rsidR="007D3E34" w:rsidRPr="002F4596">
        <w:rPr>
          <w:sz w:val="24"/>
          <w:szCs w:val="24"/>
        </w:rPr>
        <w:t xml:space="preserve"> performansını </w:t>
      </w:r>
      <w:proofErr w:type="spellStart"/>
      <w:proofErr w:type="gramStart"/>
      <w:r w:rsidR="007D3E34" w:rsidRPr="002F4596">
        <w:rPr>
          <w:sz w:val="24"/>
          <w:szCs w:val="24"/>
        </w:rPr>
        <w:t>etkilememiştir.Günde</w:t>
      </w:r>
      <w:proofErr w:type="spellEnd"/>
      <w:proofErr w:type="gramEnd"/>
      <w:r w:rsidR="007D3E34" w:rsidRPr="002F4596">
        <w:rPr>
          <w:sz w:val="24"/>
          <w:szCs w:val="24"/>
        </w:rPr>
        <w:t xml:space="preserve"> 200 mg/kg (klinik sistemik maruz kalımın &gt;69 katı) dozunu alan </w:t>
      </w:r>
      <w:proofErr w:type="spellStart"/>
      <w:r w:rsidR="007D3E34" w:rsidRPr="002F4596">
        <w:rPr>
          <w:sz w:val="24"/>
          <w:szCs w:val="24"/>
        </w:rPr>
        <w:t>sıçanlarda</w:t>
      </w:r>
      <w:proofErr w:type="spellEnd"/>
      <w:r w:rsidR="007D3E34" w:rsidRPr="002F4596">
        <w:rPr>
          <w:sz w:val="24"/>
          <w:szCs w:val="24"/>
        </w:rPr>
        <w:t xml:space="preserve"> yapılan </w:t>
      </w:r>
      <w:proofErr w:type="spellStart"/>
      <w:r w:rsidR="007D3E34" w:rsidRPr="002F4596">
        <w:rPr>
          <w:sz w:val="24"/>
          <w:szCs w:val="24"/>
        </w:rPr>
        <w:t>dişi</w:t>
      </w:r>
      <w:proofErr w:type="spellEnd"/>
      <w:r w:rsidR="007D3E34" w:rsidRPr="002F4596">
        <w:rPr>
          <w:sz w:val="24"/>
          <w:szCs w:val="24"/>
        </w:rPr>
        <w:t xml:space="preserve"> fertilite </w:t>
      </w:r>
      <w:proofErr w:type="spellStart"/>
      <w:r w:rsidR="007D3E34" w:rsidRPr="002F4596">
        <w:rPr>
          <w:sz w:val="24"/>
          <w:szCs w:val="24"/>
        </w:rPr>
        <w:t>çalışmasında</w:t>
      </w:r>
      <w:proofErr w:type="spellEnd"/>
      <w:r w:rsidR="007D3E34" w:rsidRPr="002F4596">
        <w:rPr>
          <w:sz w:val="24"/>
          <w:szCs w:val="24"/>
        </w:rPr>
        <w:t xml:space="preserve"> yavruların </w:t>
      </w:r>
      <w:proofErr w:type="spellStart"/>
      <w:r w:rsidR="007D3E34" w:rsidRPr="002F4596">
        <w:rPr>
          <w:sz w:val="24"/>
          <w:szCs w:val="24"/>
        </w:rPr>
        <w:t>vücut</w:t>
      </w:r>
      <w:proofErr w:type="spellEnd"/>
      <w:r w:rsidR="007D3E34" w:rsidRPr="002F4596">
        <w:rPr>
          <w:sz w:val="24"/>
          <w:szCs w:val="24"/>
        </w:rPr>
        <w:t xml:space="preserve"> </w:t>
      </w:r>
      <w:proofErr w:type="spellStart"/>
      <w:r w:rsidR="007D3E34" w:rsidRPr="002F4596">
        <w:rPr>
          <w:sz w:val="24"/>
          <w:szCs w:val="24"/>
        </w:rPr>
        <w:t>ağırlığında</w:t>
      </w:r>
      <w:proofErr w:type="spellEnd"/>
      <w:r w:rsidR="007D3E34" w:rsidRPr="002F4596">
        <w:rPr>
          <w:sz w:val="24"/>
          <w:szCs w:val="24"/>
        </w:rPr>
        <w:t xml:space="preserve"> </w:t>
      </w:r>
      <w:proofErr w:type="spellStart"/>
      <w:r w:rsidR="007D3E34" w:rsidRPr="002F4596">
        <w:rPr>
          <w:sz w:val="24"/>
          <w:szCs w:val="24"/>
        </w:rPr>
        <w:t>küçük</w:t>
      </w:r>
      <w:proofErr w:type="spellEnd"/>
      <w:r w:rsidR="007D3E34" w:rsidRPr="002F4596">
        <w:rPr>
          <w:sz w:val="24"/>
          <w:szCs w:val="24"/>
        </w:rPr>
        <w:t xml:space="preserve"> bir azalma </w:t>
      </w:r>
      <w:proofErr w:type="spellStart"/>
      <w:r w:rsidR="007D3E34" w:rsidRPr="002F4596">
        <w:rPr>
          <w:sz w:val="24"/>
          <w:szCs w:val="24"/>
        </w:rPr>
        <w:t>kaydedilmiştir</w:t>
      </w:r>
      <w:proofErr w:type="spellEnd"/>
      <w:r w:rsidR="007D3E34" w:rsidRPr="002F4596">
        <w:rPr>
          <w:sz w:val="24"/>
          <w:szCs w:val="24"/>
        </w:rPr>
        <w:t xml:space="preserve">. </w:t>
      </w:r>
      <w:proofErr w:type="spellStart"/>
      <w:r w:rsidR="007D3E34" w:rsidRPr="002F4596">
        <w:rPr>
          <w:sz w:val="24"/>
          <w:szCs w:val="24"/>
        </w:rPr>
        <w:t>Tavşanlarda</w:t>
      </w:r>
      <w:proofErr w:type="spellEnd"/>
      <w:r w:rsidR="007D3E34" w:rsidRPr="002F4596">
        <w:rPr>
          <w:sz w:val="24"/>
          <w:szCs w:val="24"/>
        </w:rPr>
        <w:t xml:space="preserve"> yapılan </w:t>
      </w:r>
      <w:proofErr w:type="spellStart"/>
      <w:r w:rsidR="007D3E34" w:rsidRPr="002F4596">
        <w:rPr>
          <w:sz w:val="24"/>
          <w:szCs w:val="24"/>
        </w:rPr>
        <w:t>çalışmalarda</w:t>
      </w:r>
      <w:proofErr w:type="spellEnd"/>
      <w:r w:rsidR="007D3E34" w:rsidRPr="002F4596">
        <w:rPr>
          <w:sz w:val="24"/>
          <w:szCs w:val="24"/>
        </w:rPr>
        <w:t xml:space="preserve">, </w:t>
      </w:r>
      <w:r w:rsidR="00A12CE4" w:rsidRPr="002F4596">
        <w:rPr>
          <w:sz w:val="24"/>
          <w:szCs w:val="24"/>
        </w:rPr>
        <w:t>klinik dozda görülen</w:t>
      </w:r>
      <w:r w:rsidR="007D3E34" w:rsidRPr="002F4596">
        <w:rPr>
          <w:sz w:val="24"/>
          <w:szCs w:val="24"/>
        </w:rPr>
        <w:t xml:space="preserve"> klinik</w:t>
      </w:r>
      <w:r w:rsidR="00A12CE4" w:rsidRPr="002F4596">
        <w:rPr>
          <w:sz w:val="24"/>
          <w:szCs w:val="24"/>
        </w:rPr>
        <w:t xml:space="preserve"> sistemik maruz kal</w:t>
      </w:r>
      <w:r w:rsidR="007D3E34" w:rsidRPr="002F4596">
        <w:rPr>
          <w:sz w:val="24"/>
          <w:szCs w:val="24"/>
        </w:rPr>
        <w:t>ımın</w:t>
      </w:r>
      <w:r w:rsidR="00A12CE4" w:rsidRPr="002F4596">
        <w:rPr>
          <w:sz w:val="24"/>
          <w:szCs w:val="24"/>
        </w:rPr>
        <w:t xml:space="preserve"> </w:t>
      </w:r>
      <w:r w:rsidR="007D3E34" w:rsidRPr="002F4596">
        <w:rPr>
          <w:sz w:val="24"/>
          <w:szCs w:val="24"/>
        </w:rPr>
        <w:t>&gt;</w:t>
      </w:r>
      <w:r w:rsidR="00A12CE4" w:rsidRPr="002F4596">
        <w:rPr>
          <w:sz w:val="24"/>
          <w:szCs w:val="24"/>
        </w:rPr>
        <w:t xml:space="preserve">24 kat </w:t>
      </w:r>
      <w:r w:rsidR="007D3E34" w:rsidRPr="002F4596">
        <w:rPr>
          <w:sz w:val="24"/>
          <w:szCs w:val="24"/>
        </w:rPr>
        <w:t xml:space="preserve">üzerindeki sistemik maruz kalımda eş zamanlı incelenen kontrol hayvanlara göre yetersiz kemik gelişimi insidansının daha yüksek </w:t>
      </w:r>
      <w:r w:rsidR="00A12CE4" w:rsidRPr="002F4596">
        <w:rPr>
          <w:sz w:val="24"/>
          <w:szCs w:val="24"/>
        </w:rPr>
        <w:t xml:space="preserve">olduğu </w:t>
      </w:r>
      <w:r w:rsidR="007D3E34" w:rsidRPr="002F4596">
        <w:rPr>
          <w:sz w:val="24"/>
          <w:szCs w:val="24"/>
        </w:rPr>
        <w:t>görülmüştür</w:t>
      </w:r>
      <w:r w:rsidR="00224739" w:rsidRPr="002F4596">
        <w:rPr>
          <w:sz w:val="24"/>
          <w:szCs w:val="24"/>
        </w:rPr>
        <w:t xml:space="preserve">. Sıçanlarda hiçbir anormallik </w:t>
      </w:r>
      <w:r w:rsidR="00A12CE4" w:rsidRPr="002F4596">
        <w:rPr>
          <w:sz w:val="24"/>
          <w:szCs w:val="24"/>
        </w:rPr>
        <w:t>görülmemiştir.</w:t>
      </w:r>
      <w:r w:rsidR="00224739" w:rsidRPr="002F4596">
        <w:rPr>
          <w:sz w:val="24"/>
          <w:szCs w:val="24"/>
        </w:rPr>
        <w:t xml:space="preserve"> </w:t>
      </w:r>
      <w:proofErr w:type="spellStart"/>
      <w:r w:rsidR="00224739" w:rsidRPr="002F4596">
        <w:rPr>
          <w:sz w:val="24"/>
          <w:szCs w:val="24"/>
        </w:rPr>
        <w:t>Montelukastın</w:t>
      </w:r>
      <w:proofErr w:type="spellEnd"/>
      <w:r w:rsidR="00224739" w:rsidRPr="002F4596">
        <w:rPr>
          <w:sz w:val="24"/>
          <w:szCs w:val="24"/>
        </w:rPr>
        <w:t xml:space="preserve"> hayvanlarda plasentadan geçtiği ve anne sütüne geçtiği gösterilmiştir.</w:t>
      </w:r>
    </w:p>
    <w:p w14:paraId="42972D19" w14:textId="77777777" w:rsidR="00224739" w:rsidRPr="002F4596" w:rsidRDefault="00224739" w:rsidP="007B7CCA">
      <w:pPr>
        <w:pStyle w:val="NormalWeb"/>
        <w:ind w:left="284"/>
        <w:jc w:val="both"/>
      </w:pPr>
      <w:r w:rsidRPr="002F4596">
        <w:t xml:space="preserve">Farelerde ve </w:t>
      </w:r>
      <w:proofErr w:type="spellStart"/>
      <w:r w:rsidRPr="002F4596">
        <w:t>sıçanlarda</w:t>
      </w:r>
      <w:proofErr w:type="spellEnd"/>
      <w:r w:rsidRPr="002F4596">
        <w:t xml:space="preserve"> 5000 mg/kg'a (test edilen maksimum doz) kadar </w:t>
      </w:r>
      <w:proofErr w:type="spellStart"/>
      <w:r w:rsidRPr="002F4596">
        <w:t>montelukast</w:t>
      </w:r>
      <w:proofErr w:type="spellEnd"/>
      <w:r w:rsidRPr="002F4596">
        <w:t xml:space="preserve"> sodyum dozlarının (farelerde 15.000 mg/ m</w:t>
      </w:r>
      <w:r w:rsidRPr="002F4596">
        <w:rPr>
          <w:position w:val="8"/>
        </w:rPr>
        <w:t xml:space="preserve">2 </w:t>
      </w:r>
      <w:r w:rsidRPr="002F4596">
        <w:t xml:space="preserve">ve </w:t>
      </w:r>
      <w:proofErr w:type="spellStart"/>
      <w:r w:rsidRPr="002F4596">
        <w:t>sıçanlarda</w:t>
      </w:r>
      <w:proofErr w:type="spellEnd"/>
      <w:r w:rsidRPr="002F4596">
        <w:t xml:space="preserve"> 30.000 mg/m2) tekli oral uygulanmasından sonra </w:t>
      </w:r>
      <w:proofErr w:type="spellStart"/>
      <w:r w:rsidRPr="002F4596">
        <w:t>hiçbir</w:t>
      </w:r>
      <w:proofErr w:type="spellEnd"/>
      <w:r w:rsidRPr="002F4596">
        <w:t xml:space="preserve"> </w:t>
      </w:r>
      <w:proofErr w:type="spellStart"/>
      <w:r w:rsidRPr="002F4596">
        <w:t>ölüm</w:t>
      </w:r>
      <w:proofErr w:type="spellEnd"/>
      <w:r w:rsidRPr="002F4596">
        <w:t xml:space="preserve"> </w:t>
      </w:r>
      <w:proofErr w:type="spellStart"/>
      <w:r w:rsidRPr="002F4596">
        <w:t>gözlenmemiştir</w:t>
      </w:r>
      <w:proofErr w:type="spellEnd"/>
      <w:r w:rsidRPr="002F4596">
        <w:t xml:space="preserve">. Bu doz, </w:t>
      </w:r>
      <w:proofErr w:type="spellStart"/>
      <w:r w:rsidRPr="002F4596">
        <w:t>önerilen</w:t>
      </w:r>
      <w:proofErr w:type="spellEnd"/>
      <w:r w:rsidRPr="002F4596">
        <w:t xml:space="preserve"> </w:t>
      </w:r>
      <w:proofErr w:type="spellStart"/>
      <w:r w:rsidRPr="002F4596">
        <w:t>günlük</w:t>
      </w:r>
      <w:proofErr w:type="spellEnd"/>
      <w:r w:rsidRPr="002F4596">
        <w:t xml:space="preserve"> </w:t>
      </w:r>
      <w:proofErr w:type="spellStart"/>
      <w:r w:rsidRPr="002F4596">
        <w:t>erişkin</w:t>
      </w:r>
      <w:proofErr w:type="spellEnd"/>
      <w:r w:rsidRPr="002F4596">
        <w:t xml:space="preserve"> insan dozunun (50 kg </w:t>
      </w:r>
      <w:proofErr w:type="spellStart"/>
      <w:r w:rsidRPr="002F4596">
        <w:t>ağırlığındaki</w:t>
      </w:r>
      <w:proofErr w:type="spellEnd"/>
      <w:r w:rsidRPr="002F4596">
        <w:t xml:space="preserve"> hasta baz alınarak) 25.000 katına denktir. </w:t>
      </w:r>
    </w:p>
    <w:p w14:paraId="3CA9EA21" w14:textId="77777777" w:rsidR="00224739" w:rsidRPr="002F4596" w:rsidRDefault="00224739" w:rsidP="007B7CCA">
      <w:pPr>
        <w:pStyle w:val="NormalWeb"/>
        <w:ind w:left="284"/>
        <w:jc w:val="both"/>
      </w:pPr>
      <w:r w:rsidRPr="002F4596">
        <w:t xml:space="preserve">Farelerde </w:t>
      </w:r>
      <w:proofErr w:type="spellStart"/>
      <w:r w:rsidRPr="002F4596">
        <w:t>günde</w:t>
      </w:r>
      <w:proofErr w:type="spellEnd"/>
      <w:r w:rsidRPr="002F4596">
        <w:t xml:space="preserve"> 500 mg/kg'a kadar (sistemik maruz kalımın </w:t>
      </w:r>
      <w:proofErr w:type="spellStart"/>
      <w:r w:rsidRPr="002F4596">
        <w:t>yaklaşık</w:t>
      </w:r>
      <w:proofErr w:type="spellEnd"/>
      <w:r w:rsidRPr="002F4596">
        <w:t xml:space="preserve"> &gt;200 katı) </w:t>
      </w:r>
      <w:proofErr w:type="spellStart"/>
      <w:r w:rsidRPr="002F4596">
        <w:t>montelukast</w:t>
      </w:r>
      <w:proofErr w:type="spellEnd"/>
      <w:r w:rsidRPr="002F4596">
        <w:t xml:space="preserve"> dozlarının UVA, UVB veya </w:t>
      </w:r>
      <w:proofErr w:type="spellStart"/>
      <w:r w:rsidRPr="002F4596">
        <w:t>görünür</w:t>
      </w:r>
      <w:proofErr w:type="spellEnd"/>
      <w:r w:rsidRPr="002F4596">
        <w:t xml:space="preserve"> </w:t>
      </w:r>
      <w:proofErr w:type="spellStart"/>
      <w:r w:rsidRPr="002F4596">
        <w:t>ışık</w:t>
      </w:r>
      <w:proofErr w:type="spellEnd"/>
      <w:r w:rsidRPr="002F4596">
        <w:t xml:space="preserve"> spektrumlarında </w:t>
      </w:r>
      <w:proofErr w:type="spellStart"/>
      <w:r w:rsidRPr="002F4596">
        <w:t>fototoksik</w:t>
      </w:r>
      <w:proofErr w:type="spellEnd"/>
      <w:r w:rsidRPr="002F4596">
        <w:t xml:space="preserve"> </w:t>
      </w:r>
      <w:proofErr w:type="spellStart"/>
      <w:r w:rsidRPr="002F4596">
        <w:t>olmadığı</w:t>
      </w:r>
      <w:proofErr w:type="spellEnd"/>
      <w:r w:rsidRPr="002F4596">
        <w:t xml:space="preserve"> </w:t>
      </w:r>
      <w:proofErr w:type="spellStart"/>
      <w:r w:rsidRPr="002F4596">
        <w:t>saptanmıştır</w:t>
      </w:r>
      <w:proofErr w:type="spellEnd"/>
      <w:r w:rsidRPr="002F4596">
        <w:t xml:space="preserve">. </w:t>
      </w:r>
    </w:p>
    <w:p w14:paraId="4EB88D6B" w14:textId="7FC8F308" w:rsidR="00224739" w:rsidRPr="002F4596" w:rsidRDefault="00224739" w:rsidP="007B7CCA">
      <w:pPr>
        <w:pStyle w:val="NormalWeb"/>
        <w:ind w:left="284"/>
        <w:jc w:val="both"/>
      </w:pPr>
      <w:proofErr w:type="spellStart"/>
      <w:r w:rsidRPr="002F4596">
        <w:t>Montelukast</w:t>
      </w:r>
      <w:proofErr w:type="spellEnd"/>
      <w:r w:rsidRPr="002F4596">
        <w:t xml:space="preserve"> kemirgen </w:t>
      </w:r>
      <w:proofErr w:type="spellStart"/>
      <w:r w:rsidRPr="002F4596">
        <w:t>türlerinde</w:t>
      </w:r>
      <w:proofErr w:type="spellEnd"/>
      <w:r w:rsidRPr="002F4596">
        <w:t xml:space="preserve"> </w:t>
      </w:r>
      <w:r w:rsidRPr="002F4596">
        <w:rPr>
          <w:i/>
          <w:iCs/>
        </w:rPr>
        <w:t xml:space="preserve">in vitro </w:t>
      </w:r>
      <w:r w:rsidRPr="002F4596">
        <w:t xml:space="preserve">ve </w:t>
      </w:r>
      <w:r w:rsidRPr="002F4596">
        <w:rPr>
          <w:i/>
          <w:iCs/>
        </w:rPr>
        <w:t xml:space="preserve">in </w:t>
      </w:r>
      <w:proofErr w:type="spellStart"/>
      <w:r w:rsidRPr="002F4596">
        <w:rPr>
          <w:i/>
          <w:iCs/>
        </w:rPr>
        <w:t>vivo</w:t>
      </w:r>
      <w:proofErr w:type="spellEnd"/>
      <w:r w:rsidRPr="002F4596">
        <w:rPr>
          <w:i/>
          <w:iCs/>
        </w:rPr>
        <w:t xml:space="preserve"> </w:t>
      </w:r>
      <w:r w:rsidRPr="002F4596">
        <w:t xml:space="preserve">testlerde </w:t>
      </w:r>
      <w:proofErr w:type="spellStart"/>
      <w:r w:rsidRPr="002F4596">
        <w:t>mutajenite</w:t>
      </w:r>
      <w:proofErr w:type="spellEnd"/>
      <w:r w:rsidRPr="002F4596">
        <w:t xml:space="preserve"> veya </w:t>
      </w:r>
      <w:proofErr w:type="spellStart"/>
      <w:r w:rsidRPr="002F4596">
        <w:t>tümör</w:t>
      </w:r>
      <w:proofErr w:type="spellEnd"/>
      <w:r w:rsidRPr="002F4596">
        <w:t xml:space="preserve"> </w:t>
      </w:r>
      <w:proofErr w:type="spellStart"/>
      <w:r w:rsidRPr="002F4596">
        <w:t>oluşumu</w:t>
      </w:r>
      <w:proofErr w:type="spellEnd"/>
      <w:r w:rsidRPr="002F4596">
        <w:t xml:space="preserve"> </w:t>
      </w:r>
      <w:proofErr w:type="spellStart"/>
      <w:r w:rsidRPr="002F4596">
        <w:t>göstermemiştir</w:t>
      </w:r>
      <w:proofErr w:type="spellEnd"/>
      <w:r w:rsidRPr="002F4596">
        <w:t>.</w:t>
      </w:r>
    </w:p>
    <w:p w14:paraId="22E1C702" w14:textId="77777777" w:rsidR="00CB2508" w:rsidRPr="002F4596" w:rsidRDefault="00A12CE4" w:rsidP="007B7CCA">
      <w:pPr>
        <w:pStyle w:val="Balk1"/>
        <w:numPr>
          <w:ilvl w:val="0"/>
          <w:numId w:val="2"/>
        </w:numPr>
        <w:tabs>
          <w:tab w:val="left" w:pos="677"/>
          <w:tab w:val="left" w:pos="678"/>
        </w:tabs>
        <w:spacing w:before="1" w:line="240" w:lineRule="auto"/>
        <w:ind w:left="677" w:hanging="428"/>
        <w:jc w:val="both"/>
      </w:pPr>
      <w:r w:rsidRPr="002F4596">
        <w:t>FARMASÖTİK</w:t>
      </w:r>
      <w:r w:rsidRPr="002F4596">
        <w:rPr>
          <w:spacing w:val="-3"/>
        </w:rPr>
        <w:t xml:space="preserve"> </w:t>
      </w:r>
      <w:r w:rsidRPr="002F4596">
        <w:t>ÖZELLİKLER</w:t>
      </w:r>
    </w:p>
    <w:p w14:paraId="4A9C4D73" w14:textId="77777777" w:rsidR="00CB2508" w:rsidRPr="002F4596" w:rsidRDefault="00CB2508" w:rsidP="007B7CCA">
      <w:pPr>
        <w:pStyle w:val="GvdeMetni"/>
        <w:spacing w:before="2"/>
        <w:ind w:left="0"/>
        <w:jc w:val="both"/>
        <w:rPr>
          <w:b/>
        </w:rPr>
      </w:pPr>
    </w:p>
    <w:p w14:paraId="695417AE" w14:textId="77777777" w:rsidR="00CB2508" w:rsidRPr="002F4596" w:rsidRDefault="00A12CE4" w:rsidP="007B7CCA">
      <w:pPr>
        <w:pStyle w:val="ListeParagraf"/>
        <w:numPr>
          <w:ilvl w:val="1"/>
          <w:numId w:val="2"/>
        </w:numPr>
        <w:tabs>
          <w:tab w:val="left" w:pos="671"/>
        </w:tabs>
        <w:spacing w:line="237" w:lineRule="auto"/>
        <w:ind w:left="250" w:right="5712" w:firstLine="0"/>
        <w:jc w:val="both"/>
        <w:rPr>
          <w:sz w:val="24"/>
          <w:szCs w:val="24"/>
        </w:rPr>
      </w:pPr>
      <w:r w:rsidRPr="002F4596">
        <w:rPr>
          <w:b/>
          <w:sz w:val="24"/>
          <w:szCs w:val="24"/>
        </w:rPr>
        <w:t xml:space="preserve">Yardımcı maddelerin listesi </w:t>
      </w:r>
      <w:r w:rsidRPr="002F4596">
        <w:rPr>
          <w:sz w:val="24"/>
          <w:szCs w:val="24"/>
        </w:rPr>
        <w:t>Mikrokristalin selüloz (PH112) Hidroksipropil</w:t>
      </w:r>
      <w:r w:rsidRPr="002F4596">
        <w:rPr>
          <w:spacing w:val="-1"/>
          <w:sz w:val="24"/>
          <w:szCs w:val="24"/>
        </w:rPr>
        <w:t xml:space="preserve"> </w:t>
      </w:r>
      <w:r w:rsidRPr="002F4596">
        <w:rPr>
          <w:sz w:val="24"/>
          <w:szCs w:val="24"/>
        </w:rPr>
        <w:t>selüloz</w:t>
      </w:r>
    </w:p>
    <w:p w14:paraId="5A1D656C" w14:textId="77777777" w:rsidR="00CB2508" w:rsidRPr="002F4596" w:rsidRDefault="00A12CE4" w:rsidP="007B7CCA">
      <w:pPr>
        <w:pStyle w:val="GvdeMetni"/>
        <w:spacing w:before="1"/>
        <w:ind w:left="252"/>
        <w:jc w:val="both"/>
      </w:pPr>
      <w:r w:rsidRPr="002F4596">
        <w:t>Laktoz monohidrat (inek sütü kaynaklıdır)</w:t>
      </w:r>
    </w:p>
    <w:p w14:paraId="34C8B9B3" w14:textId="77777777" w:rsidR="00CB2508" w:rsidRPr="002F4596" w:rsidRDefault="00A12CE4" w:rsidP="007B7CCA">
      <w:pPr>
        <w:pStyle w:val="GvdeMetni"/>
        <w:ind w:right="6713"/>
        <w:jc w:val="both"/>
      </w:pPr>
      <w:proofErr w:type="spellStart"/>
      <w:r w:rsidRPr="002F4596">
        <w:t>Kroskarmelloz</w:t>
      </w:r>
      <w:proofErr w:type="spellEnd"/>
      <w:r w:rsidRPr="002F4596">
        <w:t xml:space="preserve"> sodyum Magnezyum </w:t>
      </w:r>
      <w:proofErr w:type="spellStart"/>
      <w:r w:rsidRPr="002F4596">
        <w:t>stearat</w:t>
      </w:r>
      <w:proofErr w:type="spellEnd"/>
      <w:r w:rsidRPr="002F4596">
        <w:t xml:space="preserve"> </w:t>
      </w:r>
      <w:proofErr w:type="spellStart"/>
      <w:r w:rsidRPr="002F4596">
        <w:t>Prejelatinize</w:t>
      </w:r>
      <w:proofErr w:type="spellEnd"/>
      <w:r w:rsidRPr="002F4596">
        <w:t xml:space="preserve"> nişasta</w:t>
      </w:r>
    </w:p>
    <w:p w14:paraId="1388DD39" w14:textId="77777777" w:rsidR="00CB2508" w:rsidRPr="002F4596" w:rsidRDefault="00A12CE4" w:rsidP="007B7CCA">
      <w:pPr>
        <w:pStyle w:val="GvdeMetni"/>
        <w:ind w:right="5753"/>
        <w:jc w:val="both"/>
      </w:pPr>
      <w:r w:rsidRPr="002F4596">
        <w:t xml:space="preserve">Kalsiyum hidrojen fosfat dihidrat Mikrokristalin selüloz (PH102) </w:t>
      </w:r>
      <w:proofErr w:type="spellStart"/>
      <w:r w:rsidRPr="002F4596">
        <w:t>Opadry</w:t>
      </w:r>
      <w:proofErr w:type="spellEnd"/>
      <w:r w:rsidRPr="002F4596">
        <w:t xml:space="preserve"> II Pink 85F240126</w:t>
      </w:r>
    </w:p>
    <w:p w14:paraId="049B9B58" w14:textId="77777777" w:rsidR="00CB2508" w:rsidRPr="002F4596" w:rsidRDefault="00CB2508" w:rsidP="007B7CCA">
      <w:pPr>
        <w:pStyle w:val="GvdeMetni"/>
        <w:ind w:left="0"/>
        <w:jc w:val="both"/>
      </w:pPr>
    </w:p>
    <w:p w14:paraId="60A324F5" w14:textId="77777777" w:rsidR="00CB2508" w:rsidRPr="002F4596" w:rsidRDefault="00A12CE4" w:rsidP="007B7CCA">
      <w:pPr>
        <w:pStyle w:val="GvdeMetni"/>
        <w:ind w:right="103"/>
        <w:jc w:val="both"/>
      </w:pPr>
      <w:r w:rsidRPr="002F4596">
        <w:t xml:space="preserve">Kaplama maddesi: </w:t>
      </w:r>
      <w:proofErr w:type="spellStart"/>
      <w:r w:rsidRPr="002F4596">
        <w:t>Opadry</w:t>
      </w:r>
      <w:proofErr w:type="spellEnd"/>
      <w:r w:rsidRPr="002F4596">
        <w:t xml:space="preserve"> II Pink 85F240126 (polivinil alkol, titanyum dioksit, </w:t>
      </w:r>
      <w:proofErr w:type="spellStart"/>
      <w:r w:rsidRPr="002F4596">
        <w:t>makrogol</w:t>
      </w:r>
      <w:proofErr w:type="spellEnd"/>
      <w:r w:rsidRPr="002F4596">
        <w:t xml:space="preserve">/PEG, talk, FD&amp;C </w:t>
      </w:r>
      <w:proofErr w:type="spellStart"/>
      <w:r w:rsidRPr="002F4596">
        <w:t>red</w:t>
      </w:r>
      <w:proofErr w:type="spellEnd"/>
      <w:r w:rsidRPr="002F4596">
        <w:t xml:space="preserve"> #40/allura </w:t>
      </w:r>
      <w:proofErr w:type="spellStart"/>
      <w:r w:rsidRPr="002F4596">
        <w:t>red</w:t>
      </w:r>
      <w:proofErr w:type="spellEnd"/>
      <w:r w:rsidRPr="002F4596">
        <w:t xml:space="preserve"> AC </w:t>
      </w:r>
      <w:proofErr w:type="spellStart"/>
      <w:r w:rsidRPr="002F4596">
        <w:t>aluminum</w:t>
      </w:r>
      <w:proofErr w:type="spellEnd"/>
      <w:r w:rsidRPr="002F4596">
        <w:t xml:space="preserve"> lake, FD&amp;C </w:t>
      </w:r>
      <w:proofErr w:type="spellStart"/>
      <w:r w:rsidRPr="002F4596">
        <w:t>yellow</w:t>
      </w:r>
      <w:proofErr w:type="spellEnd"/>
      <w:r w:rsidRPr="002F4596">
        <w:t xml:space="preserve"> #6/ </w:t>
      </w:r>
      <w:proofErr w:type="spellStart"/>
      <w:r w:rsidRPr="002F4596">
        <w:t>sunset</w:t>
      </w:r>
      <w:proofErr w:type="spellEnd"/>
      <w:r w:rsidRPr="002F4596">
        <w:t xml:space="preserve"> </w:t>
      </w:r>
      <w:proofErr w:type="spellStart"/>
      <w:r w:rsidRPr="002F4596">
        <w:t>yellow</w:t>
      </w:r>
      <w:proofErr w:type="spellEnd"/>
      <w:r w:rsidRPr="002F4596">
        <w:t xml:space="preserve"> FCF </w:t>
      </w:r>
      <w:proofErr w:type="spellStart"/>
      <w:r w:rsidRPr="002F4596">
        <w:t>aluminum</w:t>
      </w:r>
      <w:proofErr w:type="spellEnd"/>
      <w:r w:rsidRPr="002F4596">
        <w:t xml:space="preserve"> L, FD&amp;C Blue #2/indigo </w:t>
      </w:r>
      <w:proofErr w:type="spellStart"/>
      <w:r w:rsidRPr="002F4596">
        <w:t>karmin</w:t>
      </w:r>
      <w:proofErr w:type="spellEnd"/>
      <w:r w:rsidRPr="002F4596">
        <w:t xml:space="preserve"> </w:t>
      </w:r>
      <w:proofErr w:type="spellStart"/>
      <w:r w:rsidRPr="002F4596">
        <w:t>aluminum</w:t>
      </w:r>
      <w:proofErr w:type="spellEnd"/>
      <w:r w:rsidRPr="002F4596">
        <w:t xml:space="preserve"> lake)</w:t>
      </w:r>
    </w:p>
    <w:p w14:paraId="6DCDA85D" w14:textId="77777777" w:rsidR="00CB2508" w:rsidRPr="002F4596" w:rsidRDefault="00CB2508" w:rsidP="007B7CCA">
      <w:pPr>
        <w:pStyle w:val="GvdeMetni"/>
        <w:spacing w:before="5"/>
        <w:ind w:left="0"/>
        <w:jc w:val="both"/>
      </w:pPr>
    </w:p>
    <w:p w14:paraId="05C0DE11" w14:textId="77777777" w:rsidR="00CB2508" w:rsidRPr="002F4596" w:rsidRDefault="00A12CE4" w:rsidP="007B7CCA">
      <w:pPr>
        <w:pStyle w:val="Balk1"/>
        <w:numPr>
          <w:ilvl w:val="1"/>
          <w:numId w:val="2"/>
        </w:numPr>
        <w:tabs>
          <w:tab w:val="left" w:pos="673"/>
        </w:tabs>
        <w:ind w:left="672" w:hanging="423"/>
        <w:jc w:val="both"/>
      </w:pPr>
      <w:r w:rsidRPr="002F4596">
        <w:t>Geçimsizlikler</w:t>
      </w:r>
    </w:p>
    <w:p w14:paraId="5313E367" w14:textId="77777777" w:rsidR="00CB2508" w:rsidRPr="002F4596" w:rsidRDefault="00A12CE4" w:rsidP="007B7CCA">
      <w:pPr>
        <w:pStyle w:val="GvdeMetni"/>
        <w:spacing w:line="274" w:lineRule="exact"/>
        <w:jc w:val="both"/>
      </w:pPr>
      <w:r w:rsidRPr="002F4596">
        <w:t>Bilinen herhangi bir geçimsizliği bulunmamaktadır.</w:t>
      </w:r>
    </w:p>
    <w:p w14:paraId="3D07CD38" w14:textId="77777777" w:rsidR="00CB2508" w:rsidRPr="002F4596" w:rsidRDefault="00CB2508" w:rsidP="007B7CCA">
      <w:pPr>
        <w:pStyle w:val="GvdeMetni"/>
        <w:spacing w:before="5"/>
        <w:ind w:left="0"/>
        <w:jc w:val="both"/>
      </w:pPr>
    </w:p>
    <w:p w14:paraId="6F58BF46" w14:textId="56CA81BD" w:rsidR="00CB2508" w:rsidRPr="002F4596" w:rsidRDefault="00A12CE4" w:rsidP="007B7CCA">
      <w:pPr>
        <w:pStyle w:val="Balk1"/>
        <w:numPr>
          <w:ilvl w:val="1"/>
          <w:numId w:val="2"/>
        </w:numPr>
        <w:tabs>
          <w:tab w:val="left" w:pos="673"/>
        </w:tabs>
        <w:ind w:left="672" w:hanging="423"/>
        <w:jc w:val="both"/>
      </w:pPr>
      <w:r w:rsidRPr="002F4596">
        <w:t xml:space="preserve">Raf </w:t>
      </w:r>
      <w:r w:rsidR="00224739" w:rsidRPr="002F4596">
        <w:t>ö</w:t>
      </w:r>
      <w:r w:rsidRPr="002F4596">
        <w:t>mrü</w:t>
      </w:r>
    </w:p>
    <w:p w14:paraId="3AAEC9C8" w14:textId="77777777" w:rsidR="00CB2508" w:rsidRPr="002F4596" w:rsidRDefault="00A12CE4" w:rsidP="007B7CCA">
      <w:pPr>
        <w:pStyle w:val="GvdeMetni"/>
        <w:spacing w:line="274" w:lineRule="exact"/>
        <w:jc w:val="both"/>
      </w:pPr>
      <w:r w:rsidRPr="002F4596">
        <w:t>24 ay</w:t>
      </w:r>
    </w:p>
    <w:p w14:paraId="5E7FBFF7" w14:textId="77777777" w:rsidR="00CB2508" w:rsidRPr="002F4596" w:rsidRDefault="00CB2508" w:rsidP="007B7CCA">
      <w:pPr>
        <w:pStyle w:val="GvdeMetni"/>
        <w:spacing w:before="5"/>
        <w:ind w:left="0"/>
        <w:jc w:val="both"/>
      </w:pPr>
    </w:p>
    <w:p w14:paraId="65F45D6A" w14:textId="77777777" w:rsidR="00CB2508" w:rsidRPr="002F4596" w:rsidRDefault="00A12CE4" w:rsidP="007B7CCA">
      <w:pPr>
        <w:pStyle w:val="Balk1"/>
        <w:numPr>
          <w:ilvl w:val="1"/>
          <w:numId w:val="2"/>
        </w:numPr>
        <w:tabs>
          <w:tab w:val="left" w:pos="673"/>
        </w:tabs>
        <w:ind w:left="672" w:hanging="423"/>
        <w:jc w:val="both"/>
      </w:pPr>
      <w:r w:rsidRPr="002F4596">
        <w:t>Saklamaya yönelik özel</w:t>
      </w:r>
      <w:r w:rsidRPr="002F4596">
        <w:rPr>
          <w:spacing w:val="-1"/>
        </w:rPr>
        <w:t xml:space="preserve"> </w:t>
      </w:r>
      <w:r w:rsidRPr="002F4596">
        <w:t>tedbirler</w:t>
      </w:r>
    </w:p>
    <w:p w14:paraId="6AB0A0EB" w14:textId="211F5E91" w:rsidR="00CB2508" w:rsidRPr="002F4596" w:rsidRDefault="00A12CE4" w:rsidP="007B7CCA">
      <w:pPr>
        <w:pStyle w:val="GvdeMetni"/>
        <w:spacing w:line="274" w:lineRule="exact"/>
        <w:jc w:val="both"/>
      </w:pPr>
      <w:r w:rsidRPr="002F4596">
        <w:t>25°C</w:t>
      </w:r>
      <w:r w:rsidR="00224739" w:rsidRPr="002F4596">
        <w:t xml:space="preserve"> </w:t>
      </w:r>
      <w:r w:rsidRPr="002F4596">
        <w:t>altındaki oda sıcaklığında saklayınız</w:t>
      </w:r>
      <w:r w:rsidR="001D414E" w:rsidRPr="002F4596">
        <w:t>.</w:t>
      </w:r>
      <w:r w:rsidR="00224739" w:rsidRPr="002F4596">
        <w:t xml:space="preserve"> </w:t>
      </w:r>
    </w:p>
    <w:p w14:paraId="151A496A" w14:textId="77777777" w:rsidR="00CB2508" w:rsidRPr="002F4596" w:rsidRDefault="00CB2508" w:rsidP="007B7CCA">
      <w:pPr>
        <w:pStyle w:val="GvdeMetni"/>
        <w:spacing w:before="5"/>
        <w:ind w:left="0"/>
        <w:jc w:val="both"/>
      </w:pPr>
    </w:p>
    <w:p w14:paraId="2C7F2C85" w14:textId="77777777" w:rsidR="00CB2508" w:rsidRPr="002F4596" w:rsidRDefault="00A12CE4" w:rsidP="007B7CCA">
      <w:pPr>
        <w:pStyle w:val="Balk1"/>
        <w:numPr>
          <w:ilvl w:val="1"/>
          <w:numId w:val="2"/>
        </w:numPr>
        <w:tabs>
          <w:tab w:val="left" w:pos="673"/>
        </w:tabs>
        <w:ind w:left="672" w:hanging="423"/>
        <w:jc w:val="both"/>
      </w:pPr>
      <w:r w:rsidRPr="002F4596">
        <w:t>Ambalajın niteliği ve</w:t>
      </w:r>
      <w:r w:rsidRPr="002F4596">
        <w:rPr>
          <w:spacing w:val="-2"/>
        </w:rPr>
        <w:t xml:space="preserve"> </w:t>
      </w:r>
      <w:r w:rsidRPr="002F4596">
        <w:t>içeriği</w:t>
      </w:r>
    </w:p>
    <w:p w14:paraId="25DBA8F5" w14:textId="77777777" w:rsidR="00CB2508" w:rsidRPr="002F4596" w:rsidRDefault="00A12CE4" w:rsidP="007B7CCA">
      <w:pPr>
        <w:pStyle w:val="GvdeMetni"/>
        <w:spacing w:line="274" w:lineRule="exact"/>
        <w:jc w:val="both"/>
      </w:pPr>
      <w:proofErr w:type="spellStart"/>
      <w:r w:rsidRPr="002F4596">
        <w:t>Alu</w:t>
      </w:r>
      <w:proofErr w:type="spellEnd"/>
      <w:r w:rsidRPr="002F4596">
        <w:t>/</w:t>
      </w:r>
      <w:proofErr w:type="spellStart"/>
      <w:r w:rsidRPr="002F4596">
        <w:t>Alu</w:t>
      </w:r>
      <w:proofErr w:type="spellEnd"/>
      <w:r w:rsidRPr="002F4596">
        <w:t xml:space="preserve"> folyo </w:t>
      </w:r>
      <w:proofErr w:type="spellStart"/>
      <w:r w:rsidRPr="002F4596">
        <w:t>blister</w:t>
      </w:r>
      <w:proofErr w:type="spellEnd"/>
      <w:r w:rsidRPr="002F4596">
        <w:t xml:space="preserve"> ambalaj;</w:t>
      </w:r>
    </w:p>
    <w:p w14:paraId="1332F1F9" w14:textId="50310F18" w:rsidR="00CB2508" w:rsidRDefault="00A12CE4" w:rsidP="00151578">
      <w:pPr>
        <w:pStyle w:val="GvdeMetni"/>
        <w:jc w:val="both"/>
        <w:rPr>
          <w:sz w:val="23"/>
          <w:szCs w:val="23"/>
        </w:rPr>
      </w:pPr>
      <w:proofErr w:type="spellStart"/>
      <w:r w:rsidRPr="002F4596">
        <w:t>Blister</w:t>
      </w:r>
      <w:proofErr w:type="spellEnd"/>
      <w:r w:rsidRPr="002F4596">
        <w:t xml:space="preserve"> şeritler içinde 30 ve 90 tabletlik kutular.</w:t>
      </w:r>
      <w:r w:rsidR="00151578" w:rsidRPr="002F4596">
        <w:t xml:space="preserve"> </w:t>
      </w:r>
    </w:p>
    <w:p w14:paraId="40D04E6C" w14:textId="77777777" w:rsidR="00164138" w:rsidRPr="002F4596" w:rsidRDefault="00164138" w:rsidP="00151578">
      <w:pPr>
        <w:pStyle w:val="GvdeMetni"/>
        <w:jc w:val="both"/>
        <w:rPr>
          <w:strike/>
        </w:rPr>
      </w:pPr>
    </w:p>
    <w:p w14:paraId="1EC77C80" w14:textId="77777777" w:rsidR="00151578" w:rsidRPr="002F4596" w:rsidRDefault="00151578" w:rsidP="00151578">
      <w:pPr>
        <w:pStyle w:val="GvdeMetni"/>
        <w:jc w:val="both"/>
        <w:rPr>
          <w:strike/>
        </w:rPr>
      </w:pPr>
    </w:p>
    <w:p w14:paraId="247996C7" w14:textId="45AEEEA5" w:rsidR="00CB2508" w:rsidRPr="002F4596" w:rsidRDefault="00A12CE4" w:rsidP="007B7CCA">
      <w:pPr>
        <w:pStyle w:val="ListeParagraf"/>
        <w:numPr>
          <w:ilvl w:val="1"/>
          <w:numId w:val="2"/>
        </w:numPr>
        <w:tabs>
          <w:tab w:val="left" w:pos="673"/>
        </w:tabs>
        <w:spacing w:line="237" w:lineRule="auto"/>
        <w:ind w:left="250" w:right="104" w:firstLine="0"/>
        <w:jc w:val="both"/>
        <w:rPr>
          <w:sz w:val="24"/>
          <w:szCs w:val="24"/>
        </w:rPr>
      </w:pPr>
      <w:proofErr w:type="gramStart"/>
      <w:r w:rsidRPr="002F4596">
        <w:rPr>
          <w:b/>
          <w:sz w:val="24"/>
          <w:szCs w:val="24"/>
        </w:rPr>
        <w:t>Beşeri</w:t>
      </w:r>
      <w:proofErr w:type="gramEnd"/>
      <w:r w:rsidRPr="002F4596">
        <w:rPr>
          <w:b/>
          <w:sz w:val="24"/>
          <w:szCs w:val="24"/>
        </w:rPr>
        <w:t xml:space="preserve"> tıbbi üründen arta kalan maddelerin imhası ve diğer özel önlemler </w:t>
      </w:r>
      <w:r w:rsidRPr="002F4596">
        <w:rPr>
          <w:sz w:val="24"/>
          <w:szCs w:val="24"/>
        </w:rPr>
        <w:t xml:space="preserve">Kullanılmamış olan ürünler </w:t>
      </w:r>
      <w:r w:rsidRPr="002F4596">
        <w:rPr>
          <w:spacing w:val="-3"/>
          <w:sz w:val="24"/>
          <w:szCs w:val="24"/>
        </w:rPr>
        <w:t xml:space="preserve">ya </w:t>
      </w:r>
      <w:r w:rsidRPr="002F4596">
        <w:rPr>
          <w:sz w:val="24"/>
          <w:szCs w:val="24"/>
        </w:rPr>
        <w:t xml:space="preserve">da atık materyaller "Tıbbi Atıkların Kontrolü Yönetmeliği" ve "Ambalaj Atıklarının Kontrolü </w:t>
      </w:r>
      <w:proofErr w:type="spellStart"/>
      <w:r w:rsidRPr="002F4596">
        <w:rPr>
          <w:sz w:val="24"/>
          <w:szCs w:val="24"/>
        </w:rPr>
        <w:t>Yönetmeli</w:t>
      </w:r>
      <w:r w:rsidR="00224739" w:rsidRPr="002F4596">
        <w:rPr>
          <w:sz w:val="24"/>
          <w:szCs w:val="24"/>
        </w:rPr>
        <w:t>ği</w:t>
      </w:r>
      <w:r w:rsidRPr="002F4596">
        <w:rPr>
          <w:sz w:val="24"/>
          <w:szCs w:val="24"/>
        </w:rPr>
        <w:t>"ne</w:t>
      </w:r>
      <w:proofErr w:type="spellEnd"/>
      <w:r w:rsidRPr="002F4596">
        <w:rPr>
          <w:sz w:val="24"/>
          <w:szCs w:val="24"/>
        </w:rPr>
        <w:t xml:space="preserve"> uygun olarak imha edilmelidir.</w:t>
      </w:r>
    </w:p>
    <w:p w14:paraId="679A2868" w14:textId="77777777" w:rsidR="00CB2508" w:rsidRPr="002F4596" w:rsidRDefault="00CB2508" w:rsidP="007B7CCA">
      <w:pPr>
        <w:pStyle w:val="GvdeMetni"/>
        <w:spacing w:before="9"/>
        <w:ind w:left="0"/>
        <w:jc w:val="both"/>
      </w:pPr>
    </w:p>
    <w:p w14:paraId="30053816" w14:textId="034DB7EC" w:rsidR="00CB2508" w:rsidRPr="002F4596" w:rsidRDefault="00A12CE4" w:rsidP="007B7CCA">
      <w:pPr>
        <w:pStyle w:val="Balk1"/>
        <w:numPr>
          <w:ilvl w:val="0"/>
          <w:numId w:val="2"/>
        </w:numPr>
        <w:tabs>
          <w:tab w:val="left" w:pos="481"/>
        </w:tabs>
        <w:spacing w:line="240" w:lineRule="auto"/>
        <w:jc w:val="both"/>
      </w:pPr>
      <w:r w:rsidRPr="002F4596">
        <w:t>RUHSAT</w:t>
      </w:r>
      <w:r w:rsidRPr="002F4596">
        <w:rPr>
          <w:spacing w:val="-1"/>
        </w:rPr>
        <w:t xml:space="preserve"> </w:t>
      </w:r>
      <w:r w:rsidRPr="002F4596">
        <w:t>SAHİBİ</w:t>
      </w:r>
    </w:p>
    <w:p w14:paraId="34AEC13F" w14:textId="3F90E332" w:rsidR="00A31DE4" w:rsidRPr="002F4596" w:rsidRDefault="00A31DE4" w:rsidP="007B7CCA">
      <w:pPr>
        <w:pStyle w:val="GvdeMetni"/>
        <w:ind w:left="230" w:right="2240"/>
        <w:jc w:val="both"/>
      </w:pPr>
      <w:r w:rsidRPr="002F4596">
        <w:t>H</w:t>
      </w:r>
      <w:r w:rsidR="001D414E" w:rsidRPr="002F4596">
        <w:t>umanis Sağlık</w:t>
      </w:r>
      <w:r w:rsidRPr="002F4596">
        <w:t xml:space="preserve"> A.Ş. </w:t>
      </w:r>
    </w:p>
    <w:p w14:paraId="41F1EBA2" w14:textId="3F48330C" w:rsidR="00CB2508" w:rsidRPr="002F4596" w:rsidRDefault="007D2EB0" w:rsidP="007B7CCA">
      <w:pPr>
        <w:pStyle w:val="GvdeMetni"/>
        <w:spacing w:before="9"/>
        <w:ind w:left="0"/>
        <w:jc w:val="both"/>
      </w:pPr>
      <w:r w:rsidRPr="002F4596">
        <w:t xml:space="preserve">    Maslak/Sarıyer/İstanbul</w:t>
      </w:r>
    </w:p>
    <w:p w14:paraId="4FDB2914" w14:textId="77777777" w:rsidR="007D2EB0" w:rsidRPr="002F4596" w:rsidRDefault="007D2EB0" w:rsidP="007B7CCA">
      <w:pPr>
        <w:pStyle w:val="GvdeMetni"/>
        <w:spacing w:before="9"/>
        <w:ind w:left="0"/>
        <w:jc w:val="both"/>
      </w:pPr>
    </w:p>
    <w:p w14:paraId="312D96F7" w14:textId="653F9B6E" w:rsidR="00CB2508" w:rsidRPr="002F4596" w:rsidRDefault="00A12CE4" w:rsidP="007B7CCA">
      <w:pPr>
        <w:pStyle w:val="Balk1"/>
        <w:numPr>
          <w:ilvl w:val="0"/>
          <w:numId w:val="2"/>
        </w:numPr>
        <w:tabs>
          <w:tab w:val="left" w:pos="481"/>
        </w:tabs>
        <w:spacing w:line="240" w:lineRule="auto"/>
        <w:jc w:val="both"/>
      </w:pPr>
      <w:r w:rsidRPr="002F4596">
        <w:t>RUHSAT</w:t>
      </w:r>
      <w:r w:rsidRPr="002F4596">
        <w:rPr>
          <w:spacing w:val="-1"/>
        </w:rPr>
        <w:t xml:space="preserve"> </w:t>
      </w:r>
      <w:r w:rsidRPr="002F4596">
        <w:t>NUMARASI</w:t>
      </w:r>
    </w:p>
    <w:p w14:paraId="3D054E88" w14:textId="77777777" w:rsidR="00CB2508" w:rsidRPr="002F4596" w:rsidRDefault="00A12CE4" w:rsidP="007B7CCA">
      <w:pPr>
        <w:pStyle w:val="GvdeMetni"/>
        <w:spacing w:before="1"/>
        <w:jc w:val="both"/>
      </w:pPr>
      <w:r w:rsidRPr="002F4596">
        <w:t>2016/355</w:t>
      </w:r>
    </w:p>
    <w:p w14:paraId="4543E74A" w14:textId="0B86A97D" w:rsidR="00BD7235" w:rsidRPr="002F4596" w:rsidRDefault="00BD7235" w:rsidP="007B7CCA">
      <w:pPr>
        <w:pStyle w:val="GvdeMetni"/>
        <w:spacing w:before="1"/>
        <w:ind w:left="0"/>
        <w:jc w:val="both"/>
      </w:pPr>
    </w:p>
    <w:p w14:paraId="03796CB1" w14:textId="6D0F2E8A" w:rsidR="00CB2508" w:rsidRPr="002F4596" w:rsidRDefault="00A12CE4" w:rsidP="007B7CCA">
      <w:pPr>
        <w:pStyle w:val="Balk1"/>
        <w:numPr>
          <w:ilvl w:val="0"/>
          <w:numId w:val="2"/>
        </w:numPr>
        <w:tabs>
          <w:tab w:val="left" w:pos="481"/>
        </w:tabs>
        <w:spacing w:before="90" w:line="240" w:lineRule="auto"/>
        <w:jc w:val="both"/>
      </w:pPr>
      <w:r w:rsidRPr="002F4596">
        <w:t>İLK RUHSAT TARİHİ/RUHSAT YENİLEME</w:t>
      </w:r>
      <w:r w:rsidRPr="002F4596">
        <w:rPr>
          <w:spacing w:val="-5"/>
        </w:rPr>
        <w:t xml:space="preserve"> </w:t>
      </w:r>
      <w:r w:rsidRPr="002F4596">
        <w:t>TARİHİ</w:t>
      </w:r>
    </w:p>
    <w:p w14:paraId="02F5931F" w14:textId="77777777" w:rsidR="00164138" w:rsidRDefault="00A12CE4" w:rsidP="00164138">
      <w:pPr>
        <w:pStyle w:val="GvdeMetni"/>
        <w:ind w:right="2142" w:firstLine="2"/>
        <w:jc w:val="both"/>
      </w:pPr>
      <w:r w:rsidRPr="002F4596">
        <w:t>İlk ruhsat tarihi: 28.04.2016</w:t>
      </w:r>
    </w:p>
    <w:p w14:paraId="644B7972" w14:textId="2219BB3E" w:rsidR="00CB2508" w:rsidRPr="002F4596" w:rsidRDefault="00A12CE4" w:rsidP="00164138">
      <w:pPr>
        <w:pStyle w:val="GvdeMetni"/>
        <w:ind w:right="2142" w:firstLine="2"/>
        <w:jc w:val="both"/>
      </w:pPr>
      <w:r w:rsidRPr="00164138">
        <w:t>Ruhsat yenileme tarihi:</w:t>
      </w:r>
      <w:r w:rsidR="00164138">
        <w:t xml:space="preserve"> 29.01.2021</w:t>
      </w:r>
    </w:p>
    <w:p w14:paraId="3E7EFEA1" w14:textId="77777777" w:rsidR="00CB2508" w:rsidRPr="002F4596" w:rsidRDefault="00CB2508" w:rsidP="007B7CCA">
      <w:pPr>
        <w:pStyle w:val="GvdeMetni"/>
        <w:spacing w:before="5"/>
        <w:ind w:left="0"/>
        <w:jc w:val="both"/>
      </w:pPr>
    </w:p>
    <w:p w14:paraId="28FB35C4" w14:textId="77777777" w:rsidR="00CB2508" w:rsidRDefault="00A12CE4" w:rsidP="007B7CCA">
      <w:pPr>
        <w:pStyle w:val="Balk1"/>
        <w:numPr>
          <w:ilvl w:val="0"/>
          <w:numId w:val="2"/>
        </w:numPr>
        <w:tabs>
          <w:tab w:val="left" w:pos="587"/>
        </w:tabs>
        <w:spacing w:line="240" w:lineRule="auto"/>
        <w:ind w:left="586" w:hanging="337"/>
        <w:jc w:val="both"/>
      </w:pPr>
      <w:r w:rsidRPr="002F4596">
        <w:t>KÜB'ÜN YENİLENME</w:t>
      </w:r>
      <w:r w:rsidRPr="002F4596">
        <w:rPr>
          <w:spacing w:val="-2"/>
        </w:rPr>
        <w:t xml:space="preserve"> </w:t>
      </w:r>
      <w:r w:rsidRPr="002F4596">
        <w:t>TARİHİ</w:t>
      </w:r>
    </w:p>
    <w:p w14:paraId="3CADFB5F" w14:textId="103E5486" w:rsidR="001B667D" w:rsidRPr="001B667D" w:rsidRDefault="001B667D" w:rsidP="001B667D">
      <w:pPr>
        <w:pStyle w:val="Balk1"/>
        <w:tabs>
          <w:tab w:val="left" w:pos="587"/>
        </w:tabs>
        <w:spacing w:line="240" w:lineRule="auto"/>
        <w:ind w:left="249"/>
        <w:jc w:val="both"/>
        <w:rPr>
          <w:b w:val="0"/>
          <w:bCs w:val="0"/>
        </w:rPr>
      </w:pPr>
      <w:r w:rsidRPr="001B667D">
        <w:rPr>
          <w:b w:val="0"/>
          <w:bCs w:val="0"/>
        </w:rPr>
        <w:t>0</w:t>
      </w:r>
      <w:r>
        <w:rPr>
          <w:b w:val="0"/>
          <w:bCs w:val="0"/>
        </w:rPr>
        <w:t>8</w:t>
      </w:r>
      <w:r w:rsidRPr="001B667D">
        <w:rPr>
          <w:b w:val="0"/>
          <w:bCs w:val="0"/>
        </w:rPr>
        <w:t>.09.2025</w:t>
      </w:r>
    </w:p>
    <w:sectPr w:rsidR="001B667D" w:rsidRPr="001B667D" w:rsidSect="007D2EB0">
      <w:footerReference w:type="even" r:id="rId9"/>
      <w:footerReference w:type="default" r:id="rId10"/>
      <w:pgSz w:w="11910" w:h="16840"/>
      <w:pgMar w:top="993" w:right="1500" w:bottom="1240" w:left="1180" w:header="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284F" w14:textId="77777777" w:rsidR="00E11B64" w:rsidRDefault="00E11B64">
      <w:r>
        <w:separator/>
      </w:r>
    </w:p>
  </w:endnote>
  <w:endnote w:type="continuationSeparator" w:id="0">
    <w:p w14:paraId="28F87158" w14:textId="77777777" w:rsidR="00E11B64" w:rsidRDefault="00E1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FEA8" w14:textId="3E292462" w:rsidR="005D032A" w:rsidRDefault="005D032A">
    <w:pPr>
      <w:pStyle w:val="GvdeMetni"/>
      <w:spacing w:line="14" w:lineRule="auto"/>
      <w:ind w:left="0"/>
      <w:rPr>
        <w:sz w:val="20"/>
      </w:rPr>
    </w:pPr>
    <w:r>
      <w:rPr>
        <w:noProof/>
        <w:lang w:bidi="ar-SA"/>
      </w:rPr>
      <mc:AlternateContent>
        <mc:Choice Requires="wps">
          <w:drawing>
            <wp:anchor distT="0" distB="0" distL="114300" distR="114300" simplePos="0" relativeHeight="251661312" behindDoc="1" locked="0" layoutInCell="1" allowOverlap="1" wp14:anchorId="374B5427" wp14:editId="148B46D5">
              <wp:simplePos x="0" y="0"/>
              <wp:positionH relativeFrom="page">
                <wp:posOffset>3573780</wp:posOffset>
              </wp:positionH>
              <wp:positionV relativeFrom="page">
                <wp:posOffset>10019665</wp:posOffset>
              </wp:positionV>
              <wp:extent cx="47498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BB6BB" w14:textId="4C8B8F42" w:rsidR="005D032A" w:rsidRPr="001B672E" w:rsidRDefault="005D032A" w:rsidP="00036214">
                          <w:pPr>
                            <w:pStyle w:val="GvdeMetni"/>
                            <w:spacing w:before="10"/>
                            <w:ind w:left="60"/>
                            <w:jc w:val="center"/>
                            <w:rPr>
                              <w:b/>
                              <w:bCs/>
                            </w:rPr>
                          </w:pPr>
                          <w:r w:rsidRPr="001B672E">
                            <w:rPr>
                              <w:b/>
                              <w:bCs/>
                            </w:rPr>
                            <w:fldChar w:fldCharType="begin"/>
                          </w:r>
                          <w:r w:rsidRPr="001B672E">
                            <w:rPr>
                              <w:b/>
                              <w:bCs/>
                            </w:rPr>
                            <w:instrText xml:space="preserve"> PAGE </w:instrText>
                          </w:r>
                          <w:r w:rsidRPr="001B672E">
                            <w:rPr>
                              <w:b/>
                              <w:bCs/>
                            </w:rPr>
                            <w:fldChar w:fldCharType="separate"/>
                          </w:r>
                          <w:r w:rsidR="007D2EB0">
                            <w:rPr>
                              <w:b/>
                              <w:bCs/>
                              <w:noProof/>
                            </w:rPr>
                            <w:t>16</w:t>
                          </w:r>
                          <w:r w:rsidRPr="001B672E">
                            <w:rPr>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B5427" id="_x0000_t202" coordsize="21600,21600" o:spt="202" path="m,l,21600r21600,l21600,xe">
              <v:stroke joinstyle="miter"/>
              <v:path gradientshapeok="t" o:connecttype="rect"/>
            </v:shapetype>
            <v:shape id="Text Box 2" o:spid="_x0000_s1026" type="#_x0000_t202" style="position:absolute;margin-left:281.4pt;margin-top:788.95pt;width:37.4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7XhrgIAAKg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" filled="f" stroked="f">
              <v:textbox inset="0,0,0,0">
                <w:txbxContent>
                  <w:p w14:paraId="6E7BB6BB" w14:textId="4C8B8F42" w:rsidR="005D032A" w:rsidRPr="001B672E" w:rsidRDefault="005D032A" w:rsidP="00036214">
                    <w:pPr>
                      <w:pStyle w:val="GvdeMetni"/>
                      <w:spacing w:before="10"/>
                      <w:ind w:left="60"/>
                      <w:jc w:val="center"/>
                      <w:rPr>
                        <w:b/>
                        <w:bCs/>
                      </w:rPr>
                    </w:pPr>
                    <w:r w:rsidRPr="001B672E">
                      <w:rPr>
                        <w:b/>
                        <w:bCs/>
                      </w:rPr>
                      <w:fldChar w:fldCharType="begin"/>
                    </w:r>
                    <w:r w:rsidRPr="001B672E">
                      <w:rPr>
                        <w:b/>
                        <w:bCs/>
                      </w:rPr>
                      <w:instrText xml:space="preserve"> PAGE </w:instrText>
                    </w:r>
                    <w:r w:rsidRPr="001B672E">
                      <w:rPr>
                        <w:b/>
                        <w:bCs/>
                      </w:rPr>
                      <w:fldChar w:fldCharType="separate"/>
                    </w:r>
                    <w:r w:rsidR="007D2EB0">
                      <w:rPr>
                        <w:b/>
                        <w:bCs/>
                        <w:noProof/>
                      </w:rPr>
                      <w:t>16</w:t>
                    </w:r>
                    <w:r w:rsidRPr="001B672E">
                      <w:rPr>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11C1" w14:textId="2AE7AAF2" w:rsidR="005D032A" w:rsidRDefault="005D032A">
    <w:pPr>
      <w:pStyle w:val="GvdeMetni"/>
      <w:spacing w:line="14" w:lineRule="auto"/>
      <w:ind w:left="0"/>
      <w:rPr>
        <w:sz w:val="20"/>
      </w:rPr>
    </w:pPr>
    <w:r>
      <w:rPr>
        <w:noProof/>
        <w:lang w:bidi="ar-SA"/>
      </w:rPr>
      <mc:AlternateContent>
        <mc:Choice Requires="wps">
          <w:drawing>
            <wp:anchor distT="0" distB="0" distL="114300" distR="114300" simplePos="0" relativeHeight="251160576" behindDoc="1" locked="0" layoutInCell="1" allowOverlap="1" wp14:anchorId="052C71F5" wp14:editId="77F5C731">
              <wp:simplePos x="0" y="0"/>
              <wp:positionH relativeFrom="page">
                <wp:posOffset>3671570</wp:posOffset>
              </wp:positionH>
              <wp:positionV relativeFrom="page">
                <wp:posOffset>9990455</wp:posOffset>
              </wp:positionV>
              <wp:extent cx="47498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E64E" w14:textId="5FC1EDA8" w:rsidR="005D032A" w:rsidRPr="001B672E" w:rsidRDefault="005D032A" w:rsidP="00036214">
                          <w:pPr>
                            <w:pStyle w:val="GvdeMetni"/>
                            <w:spacing w:before="10"/>
                            <w:ind w:left="60"/>
                            <w:jc w:val="center"/>
                            <w:rPr>
                              <w:b/>
                              <w:bCs/>
                            </w:rPr>
                          </w:pPr>
                          <w:r w:rsidRPr="001B672E">
                            <w:rPr>
                              <w:b/>
                              <w:bCs/>
                            </w:rPr>
                            <w:fldChar w:fldCharType="begin"/>
                          </w:r>
                          <w:r w:rsidRPr="001B672E">
                            <w:rPr>
                              <w:b/>
                              <w:bCs/>
                            </w:rPr>
                            <w:instrText xml:space="preserve"> PAGE </w:instrText>
                          </w:r>
                          <w:r w:rsidRPr="001B672E">
                            <w:rPr>
                              <w:b/>
                              <w:bCs/>
                            </w:rPr>
                            <w:fldChar w:fldCharType="separate"/>
                          </w:r>
                          <w:r w:rsidR="007D2EB0">
                            <w:rPr>
                              <w:b/>
                              <w:bCs/>
                              <w:noProof/>
                            </w:rPr>
                            <w:t>15</w:t>
                          </w:r>
                          <w:r w:rsidRPr="001B672E">
                            <w:rPr>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C71F5" id="_x0000_t202" coordsize="21600,21600" o:spt="202" path="m,l,21600r21600,l21600,xe">
              <v:stroke joinstyle="miter"/>
              <v:path gradientshapeok="t" o:connecttype="rect"/>
            </v:shapetype>
            <v:shape id="Text Box 1" o:spid="_x0000_s1027" type="#_x0000_t202" style="position:absolute;margin-left:289.1pt;margin-top:786.65pt;width:37.4pt;height:15.3pt;z-index:-25215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" filled="f" stroked="f">
              <v:textbox inset="0,0,0,0">
                <w:txbxContent>
                  <w:p w14:paraId="41AEE64E" w14:textId="5FC1EDA8" w:rsidR="005D032A" w:rsidRPr="001B672E" w:rsidRDefault="005D032A" w:rsidP="00036214">
                    <w:pPr>
                      <w:pStyle w:val="GvdeMetni"/>
                      <w:spacing w:before="10"/>
                      <w:ind w:left="60"/>
                      <w:jc w:val="center"/>
                      <w:rPr>
                        <w:b/>
                        <w:bCs/>
                      </w:rPr>
                    </w:pPr>
                    <w:r w:rsidRPr="001B672E">
                      <w:rPr>
                        <w:b/>
                        <w:bCs/>
                      </w:rPr>
                      <w:fldChar w:fldCharType="begin"/>
                    </w:r>
                    <w:r w:rsidRPr="001B672E">
                      <w:rPr>
                        <w:b/>
                        <w:bCs/>
                      </w:rPr>
                      <w:instrText xml:space="preserve"> PAGE </w:instrText>
                    </w:r>
                    <w:r w:rsidRPr="001B672E">
                      <w:rPr>
                        <w:b/>
                        <w:bCs/>
                      </w:rPr>
                      <w:fldChar w:fldCharType="separate"/>
                    </w:r>
                    <w:r w:rsidR="007D2EB0">
                      <w:rPr>
                        <w:b/>
                        <w:bCs/>
                        <w:noProof/>
                      </w:rPr>
                      <w:t>15</w:t>
                    </w:r>
                    <w:r w:rsidRPr="001B672E">
                      <w:rPr>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A3F5" w14:textId="77777777" w:rsidR="00E11B64" w:rsidRDefault="00E11B64">
      <w:r>
        <w:separator/>
      </w:r>
    </w:p>
  </w:footnote>
  <w:footnote w:type="continuationSeparator" w:id="0">
    <w:p w14:paraId="61E51DAF" w14:textId="77777777" w:rsidR="00E11B64" w:rsidRDefault="00E11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77E"/>
    <w:multiLevelType w:val="multilevel"/>
    <w:tmpl w:val="69AC4CA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3645C"/>
    <w:multiLevelType w:val="multilevel"/>
    <w:tmpl w:val="FFDC3530"/>
    <w:lvl w:ilvl="0">
      <w:start w:val="1"/>
      <w:numFmt w:val="decimal"/>
      <w:lvlText w:val="%1."/>
      <w:lvlJc w:val="left"/>
      <w:pPr>
        <w:ind w:left="480" w:hanging="231"/>
      </w:pPr>
      <w:rPr>
        <w:rFonts w:ascii="Times New Roman" w:eastAsia="Times New Roman" w:hAnsi="Times New Roman" w:cs="Times New Roman" w:hint="default"/>
        <w:b/>
        <w:bCs/>
        <w:w w:val="100"/>
        <w:sz w:val="24"/>
        <w:szCs w:val="24"/>
        <w:lang w:val="tr-TR" w:eastAsia="tr-TR" w:bidi="tr-TR"/>
      </w:rPr>
    </w:lvl>
    <w:lvl w:ilvl="1">
      <w:start w:val="1"/>
      <w:numFmt w:val="decimal"/>
      <w:lvlText w:val="%1.%2."/>
      <w:lvlJc w:val="left"/>
      <w:pPr>
        <w:ind w:left="663" w:hanging="413"/>
      </w:pPr>
      <w:rPr>
        <w:rFonts w:ascii="Times New Roman" w:eastAsia="Times New Roman" w:hAnsi="Times New Roman" w:cs="Times New Roman" w:hint="default"/>
        <w:b/>
        <w:bCs/>
        <w:w w:val="100"/>
        <w:sz w:val="24"/>
        <w:szCs w:val="24"/>
        <w:lang w:val="tr-TR" w:eastAsia="tr-TR" w:bidi="tr-TR"/>
      </w:rPr>
    </w:lvl>
    <w:lvl w:ilvl="2">
      <w:numFmt w:val="bullet"/>
      <w:lvlText w:val="•"/>
      <w:lvlJc w:val="left"/>
      <w:pPr>
        <w:ind w:left="660" w:hanging="413"/>
      </w:pPr>
      <w:rPr>
        <w:rFonts w:hint="default"/>
        <w:lang w:val="tr-TR" w:eastAsia="tr-TR" w:bidi="tr-TR"/>
      </w:rPr>
    </w:lvl>
    <w:lvl w:ilvl="3">
      <w:numFmt w:val="bullet"/>
      <w:lvlText w:val="•"/>
      <w:lvlJc w:val="left"/>
      <w:pPr>
        <w:ind w:left="680" w:hanging="413"/>
      </w:pPr>
      <w:rPr>
        <w:rFonts w:hint="default"/>
        <w:lang w:val="tr-TR" w:eastAsia="tr-TR" w:bidi="tr-TR"/>
      </w:rPr>
    </w:lvl>
    <w:lvl w:ilvl="4">
      <w:numFmt w:val="bullet"/>
      <w:lvlText w:val="•"/>
      <w:lvlJc w:val="left"/>
      <w:pPr>
        <w:ind w:left="1900" w:hanging="413"/>
      </w:pPr>
      <w:rPr>
        <w:rFonts w:hint="default"/>
        <w:lang w:val="tr-TR" w:eastAsia="tr-TR" w:bidi="tr-TR"/>
      </w:rPr>
    </w:lvl>
    <w:lvl w:ilvl="5">
      <w:numFmt w:val="bullet"/>
      <w:lvlText w:val="•"/>
      <w:lvlJc w:val="left"/>
      <w:pPr>
        <w:ind w:left="3121" w:hanging="413"/>
      </w:pPr>
      <w:rPr>
        <w:rFonts w:hint="default"/>
        <w:lang w:val="tr-TR" w:eastAsia="tr-TR" w:bidi="tr-TR"/>
      </w:rPr>
    </w:lvl>
    <w:lvl w:ilvl="6">
      <w:numFmt w:val="bullet"/>
      <w:lvlText w:val="•"/>
      <w:lvlJc w:val="left"/>
      <w:pPr>
        <w:ind w:left="4342" w:hanging="413"/>
      </w:pPr>
      <w:rPr>
        <w:rFonts w:hint="default"/>
        <w:lang w:val="tr-TR" w:eastAsia="tr-TR" w:bidi="tr-TR"/>
      </w:rPr>
    </w:lvl>
    <w:lvl w:ilvl="7">
      <w:numFmt w:val="bullet"/>
      <w:lvlText w:val="•"/>
      <w:lvlJc w:val="left"/>
      <w:pPr>
        <w:ind w:left="5563" w:hanging="413"/>
      </w:pPr>
      <w:rPr>
        <w:rFonts w:hint="default"/>
        <w:lang w:val="tr-TR" w:eastAsia="tr-TR" w:bidi="tr-TR"/>
      </w:rPr>
    </w:lvl>
    <w:lvl w:ilvl="8">
      <w:numFmt w:val="bullet"/>
      <w:lvlText w:val="•"/>
      <w:lvlJc w:val="left"/>
      <w:pPr>
        <w:ind w:left="6784" w:hanging="413"/>
      </w:pPr>
      <w:rPr>
        <w:rFonts w:hint="default"/>
        <w:lang w:val="tr-TR" w:eastAsia="tr-TR" w:bidi="tr-TR"/>
      </w:rPr>
    </w:lvl>
  </w:abstractNum>
  <w:abstractNum w:abstractNumId="2" w15:restartNumberingAfterBreak="0">
    <w:nsid w:val="517001FC"/>
    <w:multiLevelType w:val="multilevel"/>
    <w:tmpl w:val="8220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B12D3E"/>
    <w:multiLevelType w:val="multilevel"/>
    <w:tmpl w:val="E20ECF78"/>
    <w:lvl w:ilvl="0">
      <w:start w:val="4"/>
      <w:numFmt w:val="decimal"/>
      <w:lvlText w:val="%1"/>
      <w:lvlJc w:val="left"/>
      <w:pPr>
        <w:ind w:left="663" w:hanging="413"/>
      </w:pPr>
      <w:rPr>
        <w:rFonts w:hint="default"/>
        <w:lang w:val="tr-TR" w:eastAsia="tr-TR" w:bidi="tr-TR"/>
      </w:rPr>
    </w:lvl>
    <w:lvl w:ilvl="1">
      <w:start w:val="3"/>
      <w:numFmt w:val="decimal"/>
      <w:lvlText w:val="%1.%2."/>
      <w:lvlJc w:val="left"/>
      <w:pPr>
        <w:ind w:left="663" w:hanging="413"/>
      </w:pPr>
      <w:rPr>
        <w:rFonts w:ascii="Times New Roman" w:eastAsia="Times New Roman" w:hAnsi="Times New Roman" w:cs="Times New Roman" w:hint="default"/>
        <w:b/>
        <w:bCs/>
        <w:w w:val="100"/>
        <w:sz w:val="24"/>
        <w:szCs w:val="24"/>
        <w:lang w:val="tr-TR" w:eastAsia="tr-TR" w:bidi="tr-TR"/>
      </w:rPr>
    </w:lvl>
    <w:lvl w:ilvl="2">
      <w:numFmt w:val="bullet"/>
      <w:lvlText w:val="•"/>
      <w:lvlJc w:val="left"/>
      <w:pPr>
        <w:ind w:left="2373" w:hanging="413"/>
      </w:pPr>
      <w:rPr>
        <w:rFonts w:hint="default"/>
        <w:lang w:val="tr-TR" w:eastAsia="tr-TR" w:bidi="tr-TR"/>
      </w:rPr>
    </w:lvl>
    <w:lvl w:ilvl="3">
      <w:numFmt w:val="bullet"/>
      <w:lvlText w:val="•"/>
      <w:lvlJc w:val="left"/>
      <w:pPr>
        <w:ind w:left="3229" w:hanging="413"/>
      </w:pPr>
      <w:rPr>
        <w:rFonts w:hint="default"/>
        <w:lang w:val="tr-TR" w:eastAsia="tr-TR" w:bidi="tr-TR"/>
      </w:rPr>
    </w:lvl>
    <w:lvl w:ilvl="4">
      <w:numFmt w:val="bullet"/>
      <w:lvlText w:val="•"/>
      <w:lvlJc w:val="left"/>
      <w:pPr>
        <w:ind w:left="4086" w:hanging="413"/>
      </w:pPr>
      <w:rPr>
        <w:rFonts w:hint="default"/>
        <w:lang w:val="tr-TR" w:eastAsia="tr-TR" w:bidi="tr-TR"/>
      </w:rPr>
    </w:lvl>
    <w:lvl w:ilvl="5">
      <w:numFmt w:val="bullet"/>
      <w:lvlText w:val="•"/>
      <w:lvlJc w:val="left"/>
      <w:pPr>
        <w:ind w:left="4943" w:hanging="413"/>
      </w:pPr>
      <w:rPr>
        <w:rFonts w:hint="default"/>
        <w:lang w:val="tr-TR" w:eastAsia="tr-TR" w:bidi="tr-TR"/>
      </w:rPr>
    </w:lvl>
    <w:lvl w:ilvl="6">
      <w:numFmt w:val="bullet"/>
      <w:lvlText w:val="•"/>
      <w:lvlJc w:val="left"/>
      <w:pPr>
        <w:ind w:left="5799" w:hanging="413"/>
      </w:pPr>
      <w:rPr>
        <w:rFonts w:hint="default"/>
        <w:lang w:val="tr-TR" w:eastAsia="tr-TR" w:bidi="tr-TR"/>
      </w:rPr>
    </w:lvl>
    <w:lvl w:ilvl="7">
      <w:numFmt w:val="bullet"/>
      <w:lvlText w:val="•"/>
      <w:lvlJc w:val="left"/>
      <w:pPr>
        <w:ind w:left="6656" w:hanging="413"/>
      </w:pPr>
      <w:rPr>
        <w:rFonts w:hint="default"/>
        <w:lang w:val="tr-TR" w:eastAsia="tr-TR" w:bidi="tr-TR"/>
      </w:rPr>
    </w:lvl>
    <w:lvl w:ilvl="8">
      <w:numFmt w:val="bullet"/>
      <w:lvlText w:val="•"/>
      <w:lvlJc w:val="left"/>
      <w:pPr>
        <w:ind w:left="7513" w:hanging="413"/>
      </w:pPr>
      <w:rPr>
        <w:rFonts w:hint="default"/>
        <w:lang w:val="tr-TR" w:eastAsia="tr-TR" w:bidi="tr-TR"/>
      </w:rPr>
    </w:lvl>
  </w:abstractNum>
  <w:abstractNum w:abstractNumId="4" w15:restartNumberingAfterBreak="0">
    <w:nsid w:val="5C3A6835"/>
    <w:multiLevelType w:val="multilevel"/>
    <w:tmpl w:val="0D60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138526">
    <w:abstractNumId w:val="3"/>
  </w:num>
  <w:num w:numId="2" w16cid:durableId="257638248">
    <w:abstractNumId w:val="1"/>
  </w:num>
  <w:num w:numId="3" w16cid:durableId="64567473">
    <w:abstractNumId w:val="0"/>
  </w:num>
  <w:num w:numId="4" w16cid:durableId="711150592">
    <w:abstractNumId w:val="4"/>
  </w:num>
  <w:num w:numId="5" w16cid:durableId="86351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508"/>
    <w:rsid w:val="00012F3E"/>
    <w:rsid w:val="00032FD2"/>
    <w:rsid w:val="00036214"/>
    <w:rsid w:val="00063B01"/>
    <w:rsid w:val="00066220"/>
    <w:rsid w:val="000764AF"/>
    <w:rsid w:val="000A4834"/>
    <w:rsid w:val="00151578"/>
    <w:rsid w:val="00164138"/>
    <w:rsid w:val="001943FF"/>
    <w:rsid w:val="001A0FE4"/>
    <w:rsid w:val="001B667D"/>
    <w:rsid w:val="001B672E"/>
    <w:rsid w:val="001C2951"/>
    <w:rsid w:val="001C4E7C"/>
    <w:rsid w:val="001C598F"/>
    <w:rsid w:val="001D414E"/>
    <w:rsid w:val="00224739"/>
    <w:rsid w:val="002263D6"/>
    <w:rsid w:val="002516CE"/>
    <w:rsid w:val="00253DCE"/>
    <w:rsid w:val="002A03D5"/>
    <w:rsid w:val="002B5EC4"/>
    <w:rsid w:val="002C23A2"/>
    <w:rsid w:val="002F4596"/>
    <w:rsid w:val="003249A2"/>
    <w:rsid w:val="003410E9"/>
    <w:rsid w:val="00366842"/>
    <w:rsid w:val="003839FE"/>
    <w:rsid w:val="003C20BE"/>
    <w:rsid w:val="003D27D3"/>
    <w:rsid w:val="00424EBB"/>
    <w:rsid w:val="00434817"/>
    <w:rsid w:val="0046283E"/>
    <w:rsid w:val="00476082"/>
    <w:rsid w:val="004B2082"/>
    <w:rsid w:val="005131F0"/>
    <w:rsid w:val="00520DC3"/>
    <w:rsid w:val="005235B4"/>
    <w:rsid w:val="005300A1"/>
    <w:rsid w:val="00577886"/>
    <w:rsid w:val="00581582"/>
    <w:rsid w:val="005D032A"/>
    <w:rsid w:val="005E21A8"/>
    <w:rsid w:val="005F7EC5"/>
    <w:rsid w:val="006059CD"/>
    <w:rsid w:val="0061181E"/>
    <w:rsid w:val="00636548"/>
    <w:rsid w:val="006673E2"/>
    <w:rsid w:val="0068272F"/>
    <w:rsid w:val="007235B7"/>
    <w:rsid w:val="0073096E"/>
    <w:rsid w:val="00763957"/>
    <w:rsid w:val="00765FA6"/>
    <w:rsid w:val="007930EC"/>
    <w:rsid w:val="007A7061"/>
    <w:rsid w:val="007B298A"/>
    <w:rsid w:val="007B7CCA"/>
    <w:rsid w:val="007C2394"/>
    <w:rsid w:val="007D2EB0"/>
    <w:rsid w:val="007D3E34"/>
    <w:rsid w:val="007D7426"/>
    <w:rsid w:val="007F16C5"/>
    <w:rsid w:val="00802B47"/>
    <w:rsid w:val="008068DA"/>
    <w:rsid w:val="00841FEF"/>
    <w:rsid w:val="00851777"/>
    <w:rsid w:val="00864BED"/>
    <w:rsid w:val="008B6E17"/>
    <w:rsid w:val="008D59DB"/>
    <w:rsid w:val="008D6FBF"/>
    <w:rsid w:val="008E6123"/>
    <w:rsid w:val="00902C50"/>
    <w:rsid w:val="00906433"/>
    <w:rsid w:val="00916165"/>
    <w:rsid w:val="009229ED"/>
    <w:rsid w:val="00966CFF"/>
    <w:rsid w:val="009778A8"/>
    <w:rsid w:val="0099203A"/>
    <w:rsid w:val="009B6A30"/>
    <w:rsid w:val="009D4A1E"/>
    <w:rsid w:val="009E0E25"/>
    <w:rsid w:val="00A12CE4"/>
    <w:rsid w:val="00A31DE4"/>
    <w:rsid w:val="00A37D91"/>
    <w:rsid w:val="00A45D55"/>
    <w:rsid w:val="00A86292"/>
    <w:rsid w:val="00AA22C0"/>
    <w:rsid w:val="00AA5C75"/>
    <w:rsid w:val="00AD0449"/>
    <w:rsid w:val="00AF2540"/>
    <w:rsid w:val="00B25B6A"/>
    <w:rsid w:val="00B325B1"/>
    <w:rsid w:val="00B82812"/>
    <w:rsid w:val="00BB3F10"/>
    <w:rsid w:val="00BD7235"/>
    <w:rsid w:val="00BF57F7"/>
    <w:rsid w:val="00C131AD"/>
    <w:rsid w:val="00C26A67"/>
    <w:rsid w:val="00CB2508"/>
    <w:rsid w:val="00D242CE"/>
    <w:rsid w:val="00D619E0"/>
    <w:rsid w:val="00DB2403"/>
    <w:rsid w:val="00DC241E"/>
    <w:rsid w:val="00DD4F3B"/>
    <w:rsid w:val="00E11B64"/>
    <w:rsid w:val="00E36E1D"/>
    <w:rsid w:val="00E63F30"/>
    <w:rsid w:val="00E91750"/>
    <w:rsid w:val="00EE0CB1"/>
    <w:rsid w:val="00EE11A7"/>
    <w:rsid w:val="00EF1E9B"/>
    <w:rsid w:val="00EF34C1"/>
    <w:rsid w:val="00F0775A"/>
    <w:rsid w:val="00F32CA1"/>
    <w:rsid w:val="00F56394"/>
    <w:rsid w:val="00F64940"/>
    <w:rsid w:val="00F707A2"/>
    <w:rsid w:val="00F708CA"/>
    <w:rsid w:val="00F77FD8"/>
    <w:rsid w:val="00F84F80"/>
    <w:rsid w:val="00FE5EC3"/>
    <w:rsid w:val="00FF19D0"/>
    <w:rsid w:val="00FF6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63A678"/>
  <w15:docId w15:val="{76FA3BED-FB7D-4A9B-93D8-ACA28B3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line="274" w:lineRule="exact"/>
      <w:ind w:left="25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250"/>
    </w:pPr>
    <w:rPr>
      <w:sz w:val="24"/>
      <w:szCs w:val="24"/>
    </w:rPr>
  </w:style>
  <w:style w:type="paragraph" w:styleId="ListeParagraf">
    <w:name w:val="List Paragraph"/>
    <w:basedOn w:val="Normal"/>
    <w:uiPriority w:val="1"/>
    <w:qFormat/>
    <w:pPr>
      <w:ind w:left="480" w:hanging="414"/>
    </w:pPr>
  </w:style>
  <w:style w:type="paragraph" w:customStyle="1" w:styleId="TableParagraph">
    <w:name w:val="Table Paragraph"/>
    <w:basedOn w:val="Normal"/>
    <w:uiPriority w:val="1"/>
    <w:qFormat/>
    <w:pPr>
      <w:spacing w:line="253" w:lineRule="exact"/>
      <w:ind w:left="108"/>
    </w:pPr>
  </w:style>
  <w:style w:type="paragraph" w:styleId="NormalWeb">
    <w:name w:val="Normal (Web)"/>
    <w:basedOn w:val="Normal"/>
    <w:uiPriority w:val="99"/>
    <w:unhideWhenUsed/>
    <w:rsid w:val="002516CE"/>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2B5EC4"/>
    <w:pPr>
      <w:tabs>
        <w:tab w:val="center" w:pos="4536"/>
        <w:tab w:val="right" w:pos="9072"/>
      </w:tabs>
    </w:pPr>
  </w:style>
  <w:style w:type="character" w:customStyle="1" w:styleId="stBilgiChar">
    <w:name w:val="Üst Bilgi Char"/>
    <w:basedOn w:val="VarsaylanParagrafYazTipi"/>
    <w:link w:val="stBilgi"/>
    <w:uiPriority w:val="99"/>
    <w:rsid w:val="002B5EC4"/>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2B5EC4"/>
    <w:pPr>
      <w:tabs>
        <w:tab w:val="center" w:pos="4536"/>
        <w:tab w:val="right" w:pos="9072"/>
      </w:tabs>
    </w:pPr>
  </w:style>
  <w:style w:type="character" w:customStyle="1" w:styleId="AltBilgiChar">
    <w:name w:val="Alt Bilgi Char"/>
    <w:basedOn w:val="VarsaylanParagrafYazTipi"/>
    <w:link w:val="AltBilgi"/>
    <w:uiPriority w:val="99"/>
    <w:rsid w:val="002B5EC4"/>
    <w:rPr>
      <w:rFonts w:ascii="Times New Roman" w:eastAsia="Times New Roman" w:hAnsi="Times New Roman" w:cs="Times New Roman"/>
      <w:lang w:val="tr-TR" w:eastAsia="tr-TR" w:bidi="tr-TR"/>
    </w:rPr>
  </w:style>
  <w:style w:type="character" w:customStyle="1" w:styleId="GvdeMetniChar">
    <w:name w:val="Gövde Metni Char"/>
    <w:basedOn w:val="VarsaylanParagrafYazTipi"/>
    <w:link w:val="GvdeMetni"/>
    <w:uiPriority w:val="1"/>
    <w:rsid w:val="00224739"/>
    <w:rPr>
      <w:rFonts w:ascii="Times New Roman" w:eastAsia="Times New Roman" w:hAnsi="Times New Roman" w:cs="Times New Roman"/>
      <w:sz w:val="24"/>
      <w:szCs w:val="24"/>
      <w:lang w:val="tr-TR" w:eastAsia="tr-TR" w:bidi="tr-TR"/>
    </w:rPr>
  </w:style>
  <w:style w:type="paragraph" w:customStyle="1" w:styleId="Default">
    <w:name w:val="Default"/>
    <w:rsid w:val="008068DA"/>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65">
      <w:bodyDiv w:val="1"/>
      <w:marLeft w:val="0"/>
      <w:marRight w:val="0"/>
      <w:marTop w:val="0"/>
      <w:marBottom w:val="0"/>
      <w:divBdr>
        <w:top w:val="none" w:sz="0" w:space="0" w:color="auto"/>
        <w:left w:val="none" w:sz="0" w:space="0" w:color="auto"/>
        <w:bottom w:val="none" w:sz="0" w:space="0" w:color="auto"/>
        <w:right w:val="none" w:sz="0" w:space="0" w:color="auto"/>
      </w:divBdr>
      <w:divsChild>
        <w:div w:id="779224932">
          <w:marLeft w:val="0"/>
          <w:marRight w:val="0"/>
          <w:marTop w:val="0"/>
          <w:marBottom w:val="0"/>
          <w:divBdr>
            <w:top w:val="none" w:sz="0" w:space="0" w:color="auto"/>
            <w:left w:val="none" w:sz="0" w:space="0" w:color="auto"/>
            <w:bottom w:val="none" w:sz="0" w:space="0" w:color="auto"/>
            <w:right w:val="none" w:sz="0" w:space="0" w:color="auto"/>
          </w:divBdr>
          <w:divsChild>
            <w:div w:id="2044550749">
              <w:marLeft w:val="0"/>
              <w:marRight w:val="0"/>
              <w:marTop w:val="0"/>
              <w:marBottom w:val="0"/>
              <w:divBdr>
                <w:top w:val="none" w:sz="0" w:space="0" w:color="auto"/>
                <w:left w:val="none" w:sz="0" w:space="0" w:color="auto"/>
                <w:bottom w:val="none" w:sz="0" w:space="0" w:color="auto"/>
                <w:right w:val="none" w:sz="0" w:space="0" w:color="auto"/>
              </w:divBdr>
              <w:divsChild>
                <w:div w:id="5805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104">
      <w:bodyDiv w:val="1"/>
      <w:marLeft w:val="0"/>
      <w:marRight w:val="0"/>
      <w:marTop w:val="0"/>
      <w:marBottom w:val="0"/>
      <w:divBdr>
        <w:top w:val="none" w:sz="0" w:space="0" w:color="auto"/>
        <w:left w:val="none" w:sz="0" w:space="0" w:color="auto"/>
        <w:bottom w:val="none" w:sz="0" w:space="0" w:color="auto"/>
        <w:right w:val="none" w:sz="0" w:space="0" w:color="auto"/>
      </w:divBdr>
      <w:divsChild>
        <w:div w:id="336157209">
          <w:marLeft w:val="0"/>
          <w:marRight w:val="0"/>
          <w:marTop w:val="0"/>
          <w:marBottom w:val="0"/>
          <w:divBdr>
            <w:top w:val="none" w:sz="0" w:space="0" w:color="auto"/>
            <w:left w:val="none" w:sz="0" w:space="0" w:color="auto"/>
            <w:bottom w:val="none" w:sz="0" w:space="0" w:color="auto"/>
            <w:right w:val="none" w:sz="0" w:space="0" w:color="auto"/>
          </w:divBdr>
          <w:divsChild>
            <w:div w:id="1325472026">
              <w:marLeft w:val="0"/>
              <w:marRight w:val="0"/>
              <w:marTop w:val="0"/>
              <w:marBottom w:val="0"/>
              <w:divBdr>
                <w:top w:val="none" w:sz="0" w:space="0" w:color="auto"/>
                <w:left w:val="none" w:sz="0" w:space="0" w:color="auto"/>
                <w:bottom w:val="none" w:sz="0" w:space="0" w:color="auto"/>
                <w:right w:val="none" w:sz="0" w:space="0" w:color="auto"/>
              </w:divBdr>
              <w:divsChild>
                <w:div w:id="11394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42305">
      <w:bodyDiv w:val="1"/>
      <w:marLeft w:val="0"/>
      <w:marRight w:val="0"/>
      <w:marTop w:val="0"/>
      <w:marBottom w:val="0"/>
      <w:divBdr>
        <w:top w:val="none" w:sz="0" w:space="0" w:color="auto"/>
        <w:left w:val="none" w:sz="0" w:space="0" w:color="auto"/>
        <w:bottom w:val="none" w:sz="0" w:space="0" w:color="auto"/>
        <w:right w:val="none" w:sz="0" w:space="0" w:color="auto"/>
      </w:divBdr>
      <w:divsChild>
        <w:div w:id="1571845336">
          <w:marLeft w:val="0"/>
          <w:marRight w:val="0"/>
          <w:marTop w:val="0"/>
          <w:marBottom w:val="0"/>
          <w:divBdr>
            <w:top w:val="none" w:sz="0" w:space="0" w:color="auto"/>
            <w:left w:val="none" w:sz="0" w:space="0" w:color="auto"/>
            <w:bottom w:val="none" w:sz="0" w:space="0" w:color="auto"/>
            <w:right w:val="none" w:sz="0" w:space="0" w:color="auto"/>
          </w:divBdr>
          <w:divsChild>
            <w:div w:id="1777094711">
              <w:marLeft w:val="0"/>
              <w:marRight w:val="0"/>
              <w:marTop w:val="0"/>
              <w:marBottom w:val="0"/>
              <w:divBdr>
                <w:top w:val="none" w:sz="0" w:space="0" w:color="auto"/>
                <w:left w:val="none" w:sz="0" w:space="0" w:color="auto"/>
                <w:bottom w:val="none" w:sz="0" w:space="0" w:color="auto"/>
                <w:right w:val="none" w:sz="0" w:space="0" w:color="auto"/>
              </w:divBdr>
              <w:divsChild>
                <w:div w:id="8088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86">
      <w:bodyDiv w:val="1"/>
      <w:marLeft w:val="0"/>
      <w:marRight w:val="0"/>
      <w:marTop w:val="0"/>
      <w:marBottom w:val="0"/>
      <w:divBdr>
        <w:top w:val="none" w:sz="0" w:space="0" w:color="auto"/>
        <w:left w:val="none" w:sz="0" w:space="0" w:color="auto"/>
        <w:bottom w:val="none" w:sz="0" w:space="0" w:color="auto"/>
        <w:right w:val="none" w:sz="0" w:space="0" w:color="auto"/>
      </w:divBdr>
      <w:divsChild>
        <w:div w:id="687751210">
          <w:marLeft w:val="0"/>
          <w:marRight w:val="0"/>
          <w:marTop w:val="0"/>
          <w:marBottom w:val="0"/>
          <w:divBdr>
            <w:top w:val="none" w:sz="0" w:space="0" w:color="auto"/>
            <w:left w:val="none" w:sz="0" w:space="0" w:color="auto"/>
            <w:bottom w:val="none" w:sz="0" w:space="0" w:color="auto"/>
            <w:right w:val="none" w:sz="0" w:space="0" w:color="auto"/>
          </w:divBdr>
          <w:divsChild>
            <w:div w:id="969431851">
              <w:marLeft w:val="0"/>
              <w:marRight w:val="0"/>
              <w:marTop w:val="0"/>
              <w:marBottom w:val="0"/>
              <w:divBdr>
                <w:top w:val="none" w:sz="0" w:space="0" w:color="auto"/>
                <w:left w:val="none" w:sz="0" w:space="0" w:color="auto"/>
                <w:bottom w:val="none" w:sz="0" w:space="0" w:color="auto"/>
                <w:right w:val="none" w:sz="0" w:space="0" w:color="auto"/>
              </w:divBdr>
              <w:divsChild>
                <w:div w:id="19736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01779">
      <w:bodyDiv w:val="1"/>
      <w:marLeft w:val="0"/>
      <w:marRight w:val="0"/>
      <w:marTop w:val="0"/>
      <w:marBottom w:val="0"/>
      <w:divBdr>
        <w:top w:val="none" w:sz="0" w:space="0" w:color="auto"/>
        <w:left w:val="none" w:sz="0" w:space="0" w:color="auto"/>
        <w:bottom w:val="none" w:sz="0" w:space="0" w:color="auto"/>
        <w:right w:val="none" w:sz="0" w:space="0" w:color="auto"/>
      </w:divBdr>
      <w:divsChild>
        <w:div w:id="1365444233">
          <w:marLeft w:val="0"/>
          <w:marRight w:val="0"/>
          <w:marTop w:val="0"/>
          <w:marBottom w:val="0"/>
          <w:divBdr>
            <w:top w:val="none" w:sz="0" w:space="0" w:color="auto"/>
            <w:left w:val="none" w:sz="0" w:space="0" w:color="auto"/>
            <w:bottom w:val="none" w:sz="0" w:space="0" w:color="auto"/>
            <w:right w:val="none" w:sz="0" w:space="0" w:color="auto"/>
          </w:divBdr>
          <w:divsChild>
            <w:div w:id="33579230">
              <w:marLeft w:val="0"/>
              <w:marRight w:val="0"/>
              <w:marTop w:val="0"/>
              <w:marBottom w:val="0"/>
              <w:divBdr>
                <w:top w:val="none" w:sz="0" w:space="0" w:color="auto"/>
                <w:left w:val="none" w:sz="0" w:space="0" w:color="auto"/>
                <w:bottom w:val="none" w:sz="0" w:space="0" w:color="auto"/>
                <w:right w:val="none" w:sz="0" w:space="0" w:color="auto"/>
              </w:divBdr>
              <w:divsChild>
                <w:div w:id="5663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6232">
      <w:bodyDiv w:val="1"/>
      <w:marLeft w:val="0"/>
      <w:marRight w:val="0"/>
      <w:marTop w:val="0"/>
      <w:marBottom w:val="0"/>
      <w:divBdr>
        <w:top w:val="none" w:sz="0" w:space="0" w:color="auto"/>
        <w:left w:val="none" w:sz="0" w:space="0" w:color="auto"/>
        <w:bottom w:val="none" w:sz="0" w:space="0" w:color="auto"/>
        <w:right w:val="none" w:sz="0" w:space="0" w:color="auto"/>
      </w:divBdr>
      <w:divsChild>
        <w:div w:id="1889949106">
          <w:marLeft w:val="0"/>
          <w:marRight w:val="0"/>
          <w:marTop w:val="0"/>
          <w:marBottom w:val="0"/>
          <w:divBdr>
            <w:top w:val="none" w:sz="0" w:space="0" w:color="auto"/>
            <w:left w:val="none" w:sz="0" w:space="0" w:color="auto"/>
            <w:bottom w:val="none" w:sz="0" w:space="0" w:color="auto"/>
            <w:right w:val="none" w:sz="0" w:space="0" w:color="auto"/>
          </w:divBdr>
          <w:divsChild>
            <w:div w:id="991367042">
              <w:marLeft w:val="0"/>
              <w:marRight w:val="0"/>
              <w:marTop w:val="0"/>
              <w:marBottom w:val="0"/>
              <w:divBdr>
                <w:top w:val="none" w:sz="0" w:space="0" w:color="auto"/>
                <w:left w:val="none" w:sz="0" w:space="0" w:color="auto"/>
                <w:bottom w:val="none" w:sz="0" w:space="0" w:color="auto"/>
                <w:right w:val="none" w:sz="0" w:space="0" w:color="auto"/>
              </w:divBdr>
              <w:divsChild>
                <w:div w:id="145058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8106">
      <w:bodyDiv w:val="1"/>
      <w:marLeft w:val="0"/>
      <w:marRight w:val="0"/>
      <w:marTop w:val="0"/>
      <w:marBottom w:val="0"/>
      <w:divBdr>
        <w:top w:val="none" w:sz="0" w:space="0" w:color="auto"/>
        <w:left w:val="none" w:sz="0" w:space="0" w:color="auto"/>
        <w:bottom w:val="none" w:sz="0" w:space="0" w:color="auto"/>
        <w:right w:val="none" w:sz="0" w:space="0" w:color="auto"/>
      </w:divBdr>
      <w:divsChild>
        <w:div w:id="631442894">
          <w:marLeft w:val="0"/>
          <w:marRight w:val="0"/>
          <w:marTop w:val="0"/>
          <w:marBottom w:val="0"/>
          <w:divBdr>
            <w:top w:val="none" w:sz="0" w:space="0" w:color="auto"/>
            <w:left w:val="none" w:sz="0" w:space="0" w:color="auto"/>
            <w:bottom w:val="none" w:sz="0" w:space="0" w:color="auto"/>
            <w:right w:val="none" w:sz="0" w:space="0" w:color="auto"/>
          </w:divBdr>
          <w:divsChild>
            <w:div w:id="566183011">
              <w:marLeft w:val="0"/>
              <w:marRight w:val="0"/>
              <w:marTop w:val="0"/>
              <w:marBottom w:val="0"/>
              <w:divBdr>
                <w:top w:val="none" w:sz="0" w:space="0" w:color="auto"/>
                <w:left w:val="none" w:sz="0" w:space="0" w:color="auto"/>
                <w:bottom w:val="none" w:sz="0" w:space="0" w:color="auto"/>
                <w:right w:val="none" w:sz="0" w:space="0" w:color="auto"/>
              </w:divBdr>
              <w:divsChild>
                <w:div w:id="135889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64458">
      <w:bodyDiv w:val="1"/>
      <w:marLeft w:val="0"/>
      <w:marRight w:val="0"/>
      <w:marTop w:val="0"/>
      <w:marBottom w:val="0"/>
      <w:divBdr>
        <w:top w:val="none" w:sz="0" w:space="0" w:color="auto"/>
        <w:left w:val="none" w:sz="0" w:space="0" w:color="auto"/>
        <w:bottom w:val="none" w:sz="0" w:space="0" w:color="auto"/>
        <w:right w:val="none" w:sz="0" w:space="0" w:color="auto"/>
      </w:divBdr>
      <w:divsChild>
        <w:div w:id="1229917960">
          <w:marLeft w:val="0"/>
          <w:marRight w:val="0"/>
          <w:marTop w:val="0"/>
          <w:marBottom w:val="0"/>
          <w:divBdr>
            <w:top w:val="none" w:sz="0" w:space="0" w:color="auto"/>
            <w:left w:val="none" w:sz="0" w:space="0" w:color="auto"/>
            <w:bottom w:val="none" w:sz="0" w:space="0" w:color="auto"/>
            <w:right w:val="none" w:sz="0" w:space="0" w:color="auto"/>
          </w:divBdr>
          <w:divsChild>
            <w:div w:id="545530481">
              <w:marLeft w:val="0"/>
              <w:marRight w:val="0"/>
              <w:marTop w:val="0"/>
              <w:marBottom w:val="0"/>
              <w:divBdr>
                <w:top w:val="none" w:sz="0" w:space="0" w:color="auto"/>
                <w:left w:val="none" w:sz="0" w:space="0" w:color="auto"/>
                <w:bottom w:val="none" w:sz="0" w:space="0" w:color="auto"/>
                <w:right w:val="none" w:sz="0" w:space="0" w:color="auto"/>
              </w:divBdr>
              <w:divsChild>
                <w:div w:id="5307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63362">
      <w:bodyDiv w:val="1"/>
      <w:marLeft w:val="0"/>
      <w:marRight w:val="0"/>
      <w:marTop w:val="0"/>
      <w:marBottom w:val="0"/>
      <w:divBdr>
        <w:top w:val="none" w:sz="0" w:space="0" w:color="auto"/>
        <w:left w:val="none" w:sz="0" w:space="0" w:color="auto"/>
        <w:bottom w:val="none" w:sz="0" w:space="0" w:color="auto"/>
        <w:right w:val="none" w:sz="0" w:space="0" w:color="auto"/>
      </w:divBdr>
      <w:divsChild>
        <w:div w:id="1631981507">
          <w:marLeft w:val="0"/>
          <w:marRight w:val="0"/>
          <w:marTop w:val="0"/>
          <w:marBottom w:val="0"/>
          <w:divBdr>
            <w:top w:val="none" w:sz="0" w:space="0" w:color="auto"/>
            <w:left w:val="none" w:sz="0" w:space="0" w:color="auto"/>
            <w:bottom w:val="none" w:sz="0" w:space="0" w:color="auto"/>
            <w:right w:val="none" w:sz="0" w:space="0" w:color="auto"/>
          </w:divBdr>
          <w:divsChild>
            <w:div w:id="1777671056">
              <w:marLeft w:val="0"/>
              <w:marRight w:val="0"/>
              <w:marTop w:val="0"/>
              <w:marBottom w:val="0"/>
              <w:divBdr>
                <w:top w:val="none" w:sz="0" w:space="0" w:color="auto"/>
                <w:left w:val="none" w:sz="0" w:space="0" w:color="auto"/>
                <w:bottom w:val="none" w:sz="0" w:space="0" w:color="auto"/>
                <w:right w:val="none" w:sz="0" w:space="0" w:color="auto"/>
              </w:divBdr>
              <w:divsChild>
                <w:div w:id="924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6592">
      <w:bodyDiv w:val="1"/>
      <w:marLeft w:val="0"/>
      <w:marRight w:val="0"/>
      <w:marTop w:val="0"/>
      <w:marBottom w:val="0"/>
      <w:divBdr>
        <w:top w:val="none" w:sz="0" w:space="0" w:color="auto"/>
        <w:left w:val="none" w:sz="0" w:space="0" w:color="auto"/>
        <w:bottom w:val="none" w:sz="0" w:space="0" w:color="auto"/>
        <w:right w:val="none" w:sz="0" w:space="0" w:color="auto"/>
      </w:divBdr>
      <w:divsChild>
        <w:div w:id="1811828023">
          <w:marLeft w:val="0"/>
          <w:marRight w:val="0"/>
          <w:marTop w:val="0"/>
          <w:marBottom w:val="0"/>
          <w:divBdr>
            <w:top w:val="none" w:sz="0" w:space="0" w:color="auto"/>
            <w:left w:val="none" w:sz="0" w:space="0" w:color="auto"/>
            <w:bottom w:val="none" w:sz="0" w:space="0" w:color="auto"/>
            <w:right w:val="none" w:sz="0" w:space="0" w:color="auto"/>
          </w:divBdr>
          <w:divsChild>
            <w:div w:id="332030712">
              <w:marLeft w:val="0"/>
              <w:marRight w:val="0"/>
              <w:marTop w:val="0"/>
              <w:marBottom w:val="0"/>
              <w:divBdr>
                <w:top w:val="none" w:sz="0" w:space="0" w:color="auto"/>
                <w:left w:val="none" w:sz="0" w:space="0" w:color="auto"/>
                <w:bottom w:val="none" w:sz="0" w:space="0" w:color="auto"/>
                <w:right w:val="none" w:sz="0" w:space="0" w:color="auto"/>
              </w:divBdr>
              <w:divsChild>
                <w:div w:id="9917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54504">
      <w:bodyDiv w:val="1"/>
      <w:marLeft w:val="0"/>
      <w:marRight w:val="0"/>
      <w:marTop w:val="0"/>
      <w:marBottom w:val="0"/>
      <w:divBdr>
        <w:top w:val="none" w:sz="0" w:space="0" w:color="auto"/>
        <w:left w:val="none" w:sz="0" w:space="0" w:color="auto"/>
        <w:bottom w:val="none" w:sz="0" w:space="0" w:color="auto"/>
        <w:right w:val="none" w:sz="0" w:space="0" w:color="auto"/>
      </w:divBdr>
      <w:divsChild>
        <w:div w:id="1511480959">
          <w:marLeft w:val="0"/>
          <w:marRight w:val="0"/>
          <w:marTop w:val="0"/>
          <w:marBottom w:val="0"/>
          <w:divBdr>
            <w:top w:val="none" w:sz="0" w:space="0" w:color="auto"/>
            <w:left w:val="none" w:sz="0" w:space="0" w:color="auto"/>
            <w:bottom w:val="none" w:sz="0" w:space="0" w:color="auto"/>
            <w:right w:val="none" w:sz="0" w:space="0" w:color="auto"/>
          </w:divBdr>
          <w:divsChild>
            <w:div w:id="255485257">
              <w:marLeft w:val="0"/>
              <w:marRight w:val="0"/>
              <w:marTop w:val="0"/>
              <w:marBottom w:val="0"/>
              <w:divBdr>
                <w:top w:val="none" w:sz="0" w:space="0" w:color="auto"/>
                <w:left w:val="none" w:sz="0" w:space="0" w:color="auto"/>
                <w:bottom w:val="none" w:sz="0" w:space="0" w:color="auto"/>
                <w:right w:val="none" w:sz="0" w:space="0" w:color="auto"/>
              </w:divBdr>
              <w:divsChild>
                <w:div w:id="4875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6360">
      <w:bodyDiv w:val="1"/>
      <w:marLeft w:val="0"/>
      <w:marRight w:val="0"/>
      <w:marTop w:val="0"/>
      <w:marBottom w:val="0"/>
      <w:divBdr>
        <w:top w:val="none" w:sz="0" w:space="0" w:color="auto"/>
        <w:left w:val="none" w:sz="0" w:space="0" w:color="auto"/>
        <w:bottom w:val="none" w:sz="0" w:space="0" w:color="auto"/>
        <w:right w:val="none" w:sz="0" w:space="0" w:color="auto"/>
      </w:divBdr>
      <w:divsChild>
        <w:div w:id="2007051399">
          <w:marLeft w:val="0"/>
          <w:marRight w:val="0"/>
          <w:marTop w:val="0"/>
          <w:marBottom w:val="0"/>
          <w:divBdr>
            <w:top w:val="none" w:sz="0" w:space="0" w:color="auto"/>
            <w:left w:val="none" w:sz="0" w:space="0" w:color="auto"/>
            <w:bottom w:val="none" w:sz="0" w:space="0" w:color="auto"/>
            <w:right w:val="none" w:sz="0" w:space="0" w:color="auto"/>
          </w:divBdr>
          <w:divsChild>
            <w:div w:id="1378164284">
              <w:marLeft w:val="0"/>
              <w:marRight w:val="0"/>
              <w:marTop w:val="0"/>
              <w:marBottom w:val="0"/>
              <w:divBdr>
                <w:top w:val="none" w:sz="0" w:space="0" w:color="auto"/>
                <w:left w:val="none" w:sz="0" w:space="0" w:color="auto"/>
                <w:bottom w:val="none" w:sz="0" w:space="0" w:color="auto"/>
                <w:right w:val="none" w:sz="0" w:space="0" w:color="auto"/>
              </w:divBdr>
              <w:divsChild>
                <w:div w:id="20150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3509">
      <w:bodyDiv w:val="1"/>
      <w:marLeft w:val="0"/>
      <w:marRight w:val="0"/>
      <w:marTop w:val="0"/>
      <w:marBottom w:val="0"/>
      <w:divBdr>
        <w:top w:val="none" w:sz="0" w:space="0" w:color="auto"/>
        <w:left w:val="none" w:sz="0" w:space="0" w:color="auto"/>
        <w:bottom w:val="none" w:sz="0" w:space="0" w:color="auto"/>
        <w:right w:val="none" w:sz="0" w:space="0" w:color="auto"/>
      </w:divBdr>
      <w:divsChild>
        <w:div w:id="386219338">
          <w:marLeft w:val="0"/>
          <w:marRight w:val="0"/>
          <w:marTop w:val="0"/>
          <w:marBottom w:val="0"/>
          <w:divBdr>
            <w:top w:val="none" w:sz="0" w:space="0" w:color="auto"/>
            <w:left w:val="none" w:sz="0" w:space="0" w:color="auto"/>
            <w:bottom w:val="none" w:sz="0" w:space="0" w:color="auto"/>
            <w:right w:val="none" w:sz="0" w:space="0" w:color="auto"/>
          </w:divBdr>
          <w:divsChild>
            <w:div w:id="2063358779">
              <w:marLeft w:val="0"/>
              <w:marRight w:val="0"/>
              <w:marTop w:val="0"/>
              <w:marBottom w:val="0"/>
              <w:divBdr>
                <w:top w:val="none" w:sz="0" w:space="0" w:color="auto"/>
                <w:left w:val="none" w:sz="0" w:space="0" w:color="auto"/>
                <w:bottom w:val="none" w:sz="0" w:space="0" w:color="auto"/>
                <w:right w:val="none" w:sz="0" w:space="0" w:color="auto"/>
              </w:divBdr>
              <w:divsChild>
                <w:div w:id="4921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1785">
      <w:bodyDiv w:val="1"/>
      <w:marLeft w:val="0"/>
      <w:marRight w:val="0"/>
      <w:marTop w:val="0"/>
      <w:marBottom w:val="0"/>
      <w:divBdr>
        <w:top w:val="none" w:sz="0" w:space="0" w:color="auto"/>
        <w:left w:val="none" w:sz="0" w:space="0" w:color="auto"/>
        <w:bottom w:val="none" w:sz="0" w:space="0" w:color="auto"/>
        <w:right w:val="none" w:sz="0" w:space="0" w:color="auto"/>
      </w:divBdr>
      <w:divsChild>
        <w:div w:id="1596327996">
          <w:marLeft w:val="0"/>
          <w:marRight w:val="0"/>
          <w:marTop w:val="0"/>
          <w:marBottom w:val="0"/>
          <w:divBdr>
            <w:top w:val="none" w:sz="0" w:space="0" w:color="auto"/>
            <w:left w:val="none" w:sz="0" w:space="0" w:color="auto"/>
            <w:bottom w:val="none" w:sz="0" w:space="0" w:color="auto"/>
            <w:right w:val="none" w:sz="0" w:space="0" w:color="auto"/>
          </w:divBdr>
          <w:divsChild>
            <w:div w:id="869492379">
              <w:marLeft w:val="0"/>
              <w:marRight w:val="0"/>
              <w:marTop w:val="0"/>
              <w:marBottom w:val="0"/>
              <w:divBdr>
                <w:top w:val="none" w:sz="0" w:space="0" w:color="auto"/>
                <w:left w:val="none" w:sz="0" w:space="0" w:color="auto"/>
                <w:bottom w:val="none" w:sz="0" w:space="0" w:color="auto"/>
                <w:right w:val="none" w:sz="0" w:space="0" w:color="auto"/>
              </w:divBdr>
              <w:divsChild>
                <w:div w:id="176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21626">
      <w:bodyDiv w:val="1"/>
      <w:marLeft w:val="0"/>
      <w:marRight w:val="0"/>
      <w:marTop w:val="0"/>
      <w:marBottom w:val="0"/>
      <w:divBdr>
        <w:top w:val="none" w:sz="0" w:space="0" w:color="auto"/>
        <w:left w:val="none" w:sz="0" w:space="0" w:color="auto"/>
        <w:bottom w:val="none" w:sz="0" w:space="0" w:color="auto"/>
        <w:right w:val="none" w:sz="0" w:space="0" w:color="auto"/>
      </w:divBdr>
      <w:divsChild>
        <w:div w:id="887188183">
          <w:marLeft w:val="0"/>
          <w:marRight w:val="0"/>
          <w:marTop w:val="0"/>
          <w:marBottom w:val="0"/>
          <w:divBdr>
            <w:top w:val="none" w:sz="0" w:space="0" w:color="auto"/>
            <w:left w:val="none" w:sz="0" w:space="0" w:color="auto"/>
            <w:bottom w:val="none" w:sz="0" w:space="0" w:color="auto"/>
            <w:right w:val="none" w:sz="0" w:space="0" w:color="auto"/>
          </w:divBdr>
          <w:divsChild>
            <w:div w:id="2062240274">
              <w:marLeft w:val="0"/>
              <w:marRight w:val="0"/>
              <w:marTop w:val="0"/>
              <w:marBottom w:val="0"/>
              <w:divBdr>
                <w:top w:val="none" w:sz="0" w:space="0" w:color="auto"/>
                <w:left w:val="none" w:sz="0" w:space="0" w:color="auto"/>
                <w:bottom w:val="none" w:sz="0" w:space="0" w:color="auto"/>
                <w:right w:val="none" w:sz="0" w:space="0" w:color="auto"/>
              </w:divBdr>
              <w:divsChild>
                <w:div w:id="20334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19252">
      <w:bodyDiv w:val="1"/>
      <w:marLeft w:val="0"/>
      <w:marRight w:val="0"/>
      <w:marTop w:val="0"/>
      <w:marBottom w:val="0"/>
      <w:divBdr>
        <w:top w:val="none" w:sz="0" w:space="0" w:color="auto"/>
        <w:left w:val="none" w:sz="0" w:space="0" w:color="auto"/>
        <w:bottom w:val="none" w:sz="0" w:space="0" w:color="auto"/>
        <w:right w:val="none" w:sz="0" w:space="0" w:color="auto"/>
      </w:divBdr>
      <w:divsChild>
        <w:div w:id="369653841">
          <w:marLeft w:val="0"/>
          <w:marRight w:val="0"/>
          <w:marTop w:val="0"/>
          <w:marBottom w:val="0"/>
          <w:divBdr>
            <w:top w:val="none" w:sz="0" w:space="0" w:color="auto"/>
            <w:left w:val="none" w:sz="0" w:space="0" w:color="auto"/>
            <w:bottom w:val="none" w:sz="0" w:space="0" w:color="auto"/>
            <w:right w:val="none" w:sz="0" w:space="0" w:color="auto"/>
          </w:divBdr>
          <w:divsChild>
            <w:div w:id="140970095">
              <w:marLeft w:val="0"/>
              <w:marRight w:val="0"/>
              <w:marTop w:val="0"/>
              <w:marBottom w:val="0"/>
              <w:divBdr>
                <w:top w:val="none" w:sz="0" w:space="0" w:color="auto"/>
                <w:left w:val="none" w:sz="0" w:space="0" w:color="auto"/>
                <w:bottom w:val="none" w:sz="0" w:space="0" w:color="auto"/>
                <w:right w:val="none" w:sz="0" w:space="0" w:color="auto"/>
              </w:divBdr>
              <w:divsChild>
                <w:div w:id="7836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4198">
      <w:bodyDiv w:val="1"/>
      <w:marLeft w:val="0"/>
      <w:marRight w:val="0"/>
      <w:marTop w:val="0"/>
      <w:marBottom w:val="0"/>
      <w:divBdr>
        <w:top w:val="none" w:sz="0" w:space="0" w:color="auto"/>
        <w:left w:val="none" w:sz="0" w:space="0" w:color="auto"/>
        <w:bottom w:val="none" w:sz="0" w:space="0" w:color="auto"/>
        <w:right w:val="none" w:sz="0" w:space="0" w:color="auto"/>
      </w:divBdr>
      <w:divsChild>
        <w:div w:id="1048988783">
          <w:marLeft w:val="0"/>
          <w:marRight w:val="0"/>
          <w:marTop w:val="0"/>
          <w:marBottom w:val="0"/>
          <w:divBdr>
            <w:top w:val="none" w:sz="0" w:space="0" w:color="auto"/>
            <w:left w:val="none" w:sz="0" w:space="0" w:color="auto"/>
            <w:bottom w:val="none" w:sz="0" w:space="0" w:color="auto"/>
            <w:right w:val="none" w:sz="0" w:space="0" w:color="auto"/>
          </w:divBdr>
          <w:divsChild>
            <w:div w:id="132336433">
              <w:marLeft w:val="0"/>
              <w:marRight w:val="0"/>
              <w:marTop w:val="0"/>
              <w:marBottom w:val="0"/>
              <w:divBdr>
                <w:top w:val="none" w:sz="0" w:space="0" w:color="auto"/>
                <w:left w:val="none" w:sz="0" w:space="0" w:color="auto"/>
                <w:bottom w:val="none" w:sz="0" w:space="0" w:color="auto"/>
                <w:right w:val="none" w:sz="0" w:space="0" w:color="auto"/>
              </w:divBdr>
              <w:divsChild>
                <w:div w:id="9504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84615">
      <w:bodyDiv w:val="1"/>
      <w:marLeft w:val="0"/>
      <w:marRight w:val="0"/>
      <w:marTop w:val="0"/>
      <w:marBottom w:val="0"/>
      <w:divBdr>
        <w:top w:val="none" w:sz="0" w:space="0" w:color="auto"/>
        <w:left w:val="none" w:sz="0" w:space="0" w:color="auto"/>
        <w:bottom w:val="none" w:sz="0" w:space="0" w:color="auto"/>
        <w:right w:val="none" w:sz="0" w:space="0" w:color="auto"/>
      </w:divBdr>
      <w:divsChild>
        <w:div w:id="220285900">
          <w:marLeft w:val="0"/>
          <w:marRight w:val="0"/>
          <w:marTop w:val="0"/>
          <w:marBottom w:val="0"/>
          <w:divBdr>
            <w:top w:val="none" w:sz="0" w:space="0" w:color="auto"/>
            <w:left w:val="none" w:sz="0" w:space="0" w:color="auto"/>
            <w:bottom w:val="none" w:sz="0" w:space="0" w:color="auto"/>
            <w:right w:val="none" w:sz="0" w:space="0" w:color="auto"/>
          </w:divBdr>
          <w:divsChild>
            <w:div w:id="1850363960">
              <w:marLeft w:val="0"/>
              <w:marRight w:val="0"/>
              <w:marTop w:val="0"/>
              <w:marBottom w:val="0"/>
              <w:divBdr>
                <w:top w:val="none" w:sz="0" w:space="0" w:color="auto"/>
                <w:left w:val="none" w:sz="0" w:space="0" w:color="auto"/>
                <w:bottom w:val="none" w:sz="0" w:space="0" w:color="auto"/>
                <w:right w:val="none" w:sz="0" w:space="0" w:color="auto"/>
              </w:divBdr>
              <w:divsChild>
                <w:div w:id="2902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67496">
      <w:bodyDiv w:val="1"/>
      <w:marLeft w:val="0"/>
      <w:marRight w:val="0"/>
      <w:marTop w:val="0"/>
      <w:marBottom w:val="0"/>
      <w:divBdr>
        <w:top w:val="none" w:sz="0" w:space="0" w:color="auto"/>
        <w:left w:val="none" w:sz="0" w:space="0" w:color="auto"/>
        <w:bottom w:val="none" w:sz="0" w:space="0" w:color="auto"/>
        <w:right w:val="none" w:sz="0" w:space="0" w:color="auto"/>
      </w:divBdr>
      <w:divsChild>
        <w:div w:id="1787194555">
          <w:marLeft w:val="0"/>
          <w:marRight w:val="0"/>
          <w:marTop w:val="0"/>
          <w:marBottom w:val="0"/>
          <w:divBdr>
            <w:top w:val="none" w:sz="0" w:space="0" w:color="auto"/>
            <w:left w:val="none" w:sz="0" w:space="0" w:color="auto"/>
            <w:bottom w:val="none" w:sz="0" w:space="0" w:color="auto"/>
            <w:right w:val="none" w:sz="0" w:space="0" w:color="auto"/>
          </w:divBdr>
          <w:divsChild>
            <w:div w:id="447239624">
              <w:marLeft w:val="0"/>
              <w:marRight w:val="0"/>
              <w:marTop w:val="0"/>
              <w:marBottom w:val="0"/>
              <w:divBdr>
                <w:top w:val="none" w:sz="0" w:space="0" w:color="auto"/>
                <w:left w:val="none" w:sz="0" w:space="0" w:color="auto"/>
                <w:bottom w:val="none" w:sz="0" w:space="0" w:color="auto"/>
                <w:right w:val="none" w:sz="0" w:space="0" w:color="auto"/>
              </w:divBdr>
              <w:divsChild>
                <w:div w:id="19929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306">
      <w:bodyDiv w:val="1"/>
      <w:marLeft w:val="0"/>
      <w:marRight w:val="0"/>
      <w:marTop w:val="0"/>
      <w:marBottom w:val="0"/>
      <w:divBdr>
        <w:top w:val="none" w:sz="0" w:space="0" w:color="auto"/>
        <w:left w:val="none" w:sz="0" w:space="0" w:color="auto"/>
        <w:bottom w:val="none" w:sz="0" w:space="0" w:color="auto"/>
        <w:right w:val="none" w:sz="0" w:space="0" w:color="auto"/>
      </w:divBdr>
      <w:divsChild>
        <w:div w:id="1657106633">
          <w:marLeft w:val="0"/>
          <w:marRight w:val="0"/>
          <w:marTop w:val="0"/>
          <w:marBottom w:val="0"/>
          <w:divBdr>
            <w:top w:val="none" w:sz="0" w:space="0" w:color="auto"/>
            <w:left w:val="none" w:sz="0" w:space="0" w:color="auto"/>
            <w:bottom w:val="none" w:sz="0" w:space="0" w:color="auto"/>
            <w:right w:val="none" w:sz="0" w:space="0" w:color="auto"/>
          </w:divBdr>
          <w:divsChild>
            <w:div w:id="1661541037">
              <w:marLeft w:val="0"/>
              <w:marRight w:val="0"/>
              <w:marTop w:val="0"/>
              <w:marBottom w:val="0"/>
              <w:divBdr>
                <w:top w:val="none" w:sz="0" w:space="0" w:color="auto"/>
                <w:left w:val="none" w:sz="0" w:space="0" w:color="auto"/>
                <w:bottom w:val="none" w:sz="0" w:space="0" w:color="auto"/>
                <w:right w:val="none" w:sz="0" w:space="0" w:color="auto"/>
              </w:divBdr>
              <w:divsChild>
                <w:div w:id="683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fam@titck.gov.tr" TargetMode="External"/><Relationship Id="rId3" Type="http://schemas.openxmlformats.org/officeDocument/2006/relationships/settings" Target="settings.xml"/><Relationship Id="rId7" Type="http://schemas.openxmlformats.org/officeDocument/2006/relationships/hyperlink" Target="http://www.titck.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18</Pages>
  <Words>7116</Words>
  <Characters>40566</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AKBAŞ</dc:creator>
  <cp:lastModifiedBy>Başak Sezgi Bilen</cp:lastModifiedBy>
  <cp:revision>20</cp:revision>
  <cp:lastPrinted>2024-07-09T23:18:00Z</cp:lastPrinted>
  <dcterms:created xsi:type="dcterms:W3CDTF">2024-05-22T06:24:00Z</dcterms:created>
  <dcterms:modified xsi:type="dcterms:W3CDTF">2025-09-09T05:14:00Z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Word için Acrobat PDFMaker 17</vt:lpwstr>
  </property>
  <property fmtid="{D5CDD505-2E9C-101B-9397-08002B2CF9AE}" pid="4" name="LastSaved">
    <vt:filetime>2023-10-18T00:00:00Z</vt:filetime>
  </property>
</Properties>
</file>